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C9F" w:rsidRPr="003E2C9F" w:rsidRDefault="00C61C9B" w:rsidP="00EA3AF4">
      <w:pPr>
        <w:spacing w:line="360" w:lineRule="auto"/>
        <w:ind w:left="708" w:hanging="708"/>
        <w:jc w:val="center"/>
        <w:rPr>
          <w:rFonts w:ascii="Arial" w:hAnsi="Arial" w:cs="Arial"/>
        </w:rPr>
      </w:pPr>
      <w:r w:rsidRPr="00C61C9B">
        <w:rPr>
          <w:rFonts w:ascii="Arial" w:hAnsi="Arial" w:cs="Arial"/>
          <w:noProof/>
          <w:lang w:eastAsia="es-ES"/>
        </w:rPr>
        <w:drawing>
          <wp:inline distT="0" distB="0" distL="0" distR="0">
            <wp:extent cx="3431742" cy="665019"/>
            <wp:effectExtent l="0" t="0" r="0" b="1905"/>
            <wp:docPr id="3" name="Imagen 3" descr="F:\018 GESTIÓN SERVICIO\LOGOS\logo al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018 GESTIÓN SERVICIO\LOGOS\logo ala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48977" cy="668359"/>
                    </a:xfrm>
                    <a:prstGeom prst="rect">
                      <a:avLst/>
                    </a:prstGeom>
                    <a:noFill/>
                    <a:ln>
                      <a:noFill/>
                    </a:ln>
                  </pic:spPr>
                </pic:pic>
              </a:graphicData>
            </a:graphic>
          </wp:inline>
        </w:drawing>
      </w:r>
    </w:p>
    <w:p w:rsidR="003E2C9F" w:rsidRPr="00C22179" w:rsidRDefault="003E2C9F" w:rsidP="000773DC">
      <w:pPr>
        <w:pStyle w:val="Default"/>
        <w:spacing w:line="360" w:lineRule="auto"/>
        <w:jc w:val="center"/>
        <w:rPr>
          <w:szCs w:val="22"/>
        </w:rPr>
      </w:pPr>
      <w:r w:rsidRPr="00C22179">
        <w:rPr>
          <w:b/>
          <w:bCs/>
          <w:szCs w:val="22"/>
        </w:rPr>
        <w:t>Listado de Especies Silvestres en Régimen de Protección Especial-Catálogo Vasco de Especies Amenazadas de la fauna y flora</w:t>
      </w:r>
    </w:p>
    <w:p w:rsidR="003E2C9F" w:rsidRPr="00C22179" w:rsidRDefault="003E2C9F" w:rsidP="000773DC">
      <w:pPr>
        <w:pStyle w:val="Default"/>
        <w:spacing w:line="360" w:lineRule="auto"/>
        <w:jc w:val="center"/>
        <w:rPr>
          <w:szCs w:val="22"/>
        </w:rPr>
      </w:pPr>
      <w:r w:rsidRPr="00C22179">
        <w:rPr>
          <w:b/>
          <w:bCs/>
          <w:szCs w:val="22"/>
        </w:rPr>
        <w:t>(R.D. 167/1996)</w:t>
      </w:r>
    </w:p>
    <w:p w:rsidR="007C0D08" w:rsidRDefault="003E2C9F" w:rsidP="00650942">
      <w:pPr>
        <w:pStyle w:val="Default"/>
        <w:spacing w:line="360" w:lineRule="auto"/>
        <w:jc w:val="center"/>
        <w:rPr>
          <w:b/>
          <w:bCs/>
        </w:rPr>
      </w:pPr>
      <w:r w:rsidRPr="00C22179">
        <w:rPr>
          <w:b/>
          <w:bCs/>
          <w:szCs w:val="22"/>
        </w:rPr>
        <w:t xml:space="preserve">Propuesta de inclusión en el CVEA de </w:t>
      </w:r>
      <w:r w:rsidR="00921480" w:rsidRPr="00921480">
        <w:rPr>
          <w:b/>
          <w:bCs/>
          <w:i/>
          <w:szCs w:val="22"/>
        </w:rPr>
        <w:t xml:space="preserve">Libellula fulva </w:t>
      </w:r>
      <w:r w:rsidR="00921480" w:rsidRPr="00921480">
        <w:rPr>
          <w:b/>
          <w:bCs/>
          <w:szCs w:val="22"/>
        </w:rPr>
        <w:t>Müller, 1764</w:t>
      </w:r>
      <w:r w:rsidRPr="00C22179">
        <w:rPr>
          <w:b/>
          <w:bCs/>
        </w:rPr>
        <w:t xml:space="preserve"> </w:t>
      </w:r>
    </w:p>
    <w:p w:rsidR="003E2C9F" w:rsidRPr="00C22179" w:rsidRDefault="007C0D08" w:rsidP="00650942">
      <w:pPr>
        <w:pStyle w:val="Default"/>
        <w:spacing w:line="360" w:lineRule="auto"/>
        <w:jc w:val="center"/>
      </w:pPr>
      <w:r>
        <w:rPr>
          <w:b/>
          <w:bCs/>
          <w:szCs w:val="22"/>
        </w:rPr>
        <w:t xml:space="preserve">en la categoría de </w:t>
      </w:r>
      <w:r w:rsidR="003E2C9F" w:rsidRPr="00C22179">
        <w:rPr>
          <w:b/>
          <w:bCs/>
        </w:rPr>
        <w:t>“</w:t>
      </w:r>
      <w:r w:rsidR="00C91A60">
        <w:rPr>
          <w:b/>
          <w:bCs/>
        </w:rPr>
        <w:t>VULNERABLE (VU)</w:t>
      </w:r>
      <w:r w:rsidR="003E2C9F" w:rsidRPr="00C22179">
        <w:rPr>
          <w:b/>
          <w:bCs/>
        </w:rPr>
        <w:t>”</w:t>
      </w:r>
    </w:p>
    <w:tbl>
      <w:tblPr>
        <w:tblStyle w:val="Tablaconcuadrcula"/>
        <w:tblW w:w="8896" w:type="dxa"/>
        <w:tblLayout w:type="fixed"/>
        <w:tblLook w:val="04A0" w:firstRow="1" w:lastRow="0" w:firstColumn="1" w:lastColumn="0" w:noHBand="0" w:noVBand="1"/>
      </w:tblPr>
      <w:tblGrid>
        <w:gridCol w:w="1951"/>
        <w:gridCol w:w="1134"/>
        <w:gridCol w:w="284"/>
        <w:gridCol w:w="4251"/>
        <w:gridCol w:w="1276"/>
      </w:tblGrid>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Nombre científico</w:t>
            </w:r>
          </w:p>
        </w:tc>
        <w:tc>
          <w:tcPr>
            <w:tcW w:w="6945" w:type="dxa"/>
            <w:gridSpan w:val="4"/>
          </w:tcPr>
          <w:p w:rsidR="0010015A" w:rsidRDefault="00921480" w:rsidP="00146247">
            <w:pPr>
              <w:spacing w:before="240" w:line="276" w:lineRule="auto"/>
              <w:rPr>
                <w:rFonts w:ascii="Arial" w:hAnsi="Arial" w:cs="Arial"/>
              </w:rPr>
            </w:pPr>
            <w:r w:rsidRPr="00921480">
              <w:rPr>
                <w:rFonts w:ascii="Arial" w:hAnsi="Arial" w:cs="Arial"/>
                <w:i/>
              </w:rPr>
              <w:t xml:space="preserve">Libellula fulva </w:t>
            </w:r>
            <w:r w:rsidRPr="00921480">
              <w:rPr>
                <w:rFonts w:ascii="Arial" w:hAnsi="Arial" w:cs="Arial"/>
              </w:rPr>
              <w:t>Müller, 1764</w:t>
            </w:r>
          </w:p>
          <w:p w:rsidR="002025F1" w:rsidRDefault="002025F1" w:rsidP="00146247">
            <w:pPr>
              <w:spacing w:before="240" w:line="276" w:lineRule="auto"/>
              <w:rPr>
                <w:rFonts w:ascii="Arial" w:hAnsi="Arial" w:cs="Arial"/>
              </w:rPr>
            </w:pPr>
            <w:r>
              <w:rPr>
                <w:rFonts w:ascii="Arial" w:hAnsi="Arial" w:cs="Arial"/>
                <w:noProof/>
                <w:lang w:eastAsia="es-ES"/>
              </w:rPr>
              <w:drawing>
                <wp:inline distT="0" distB="0" distL="0" distR="0">
                  <wp:extent cx="4184146" cy="2790825"/>
                  <wp:effectExtent l="0" t="0" r="698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bellula fulv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99173" cy="2800848"/>
                          </a:xfrm>
                          <a:prstGeom prst="rect">
                            <a:avLst/>
                          </a:prstGeom>
                        </pic:spPr>
                      </pic:pic>
                    </a:graphicData>
                  </a:graphic>
                </wp:inline>
              </w:drawing>
            </w:r>
          </w:p>
          <w:p w:rsidR="002025F1" w:rsidRDefault="002025F1" w:rsidP="00146247">
            <w:pPr>
              <w:spacing w:before="240" w:line="276" w:lineRule="auto"/>
              <w:rPr>
                <w:rFonts w:ascii="Arial" w:hAnsi="Arial" w:cs="Arial"/>
              </w:rPr>
            </w:pPr>
            <w:r>
              <w:rPr>
                <w:rFonts w:ascii="Arial" w:hAnsi="Arial" w:cs="Arial"/>
              </w:rPr>
              <w:t>Foto: Iñaki Mezquita</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Nombre vulgar euskera</w:t>
            </w:r>
          </w:p>
          <w:p w:rsidR="003E2C9F" w:rsidRPr="00146247" w:rsidRDefault="003E2C9F" w:rsidP="00146247">
            <w:pPr>
              <w:spacing w:before="240" w:line="360" w:lineRule="auto"/>
              <w:rPr>
                <w:rFonts w:ascii="Arial" w:hAnsi="Arial" w:cs="Arial"/>
                <w:b/>
                <w:sz w:val="20"/>
              </w:rPr>
            </w:pPr>
            <w:r w:rsidRPr="00146247">
              <w:rPr>
                <w:rFonts w:ascii="Arial" w:hAnsi="Arial" w:cs="Arial"/>
                <w:b/>
                <w:sz w:val="20"/>
              </w:rPr>
              <w:t>Nombre vulgar castellano</w:t>
            </w:r>
          </w:p>
        </w:tc>
        <w:tc>
          <w:tcPr>
            <w:tcW w:w="6945" w:type="dxa"/>
            <w:gridSpan w:val="4"/>
          </w:tcPr>
          <w:p w:rsidR="009A6413" w:rsidRDefault="009A6413" w:rsidP="00146247">
            <w:pPr>
              <w:spacing w:before="240" w:line="276" w:lineRule="auto"/>
              <w:rPr>
                <w:rFonts w:ascii="Arial" w:hAnsi="Arial" w:cs="Arial"/>
              </w:rPr>
            </w:pPr>
          </w:p>
        </w:tc>
      </w:tr>
      <w:tr w:rsidR="0077099F" w:rsidTr="005D3AFA">
        <w:trPr>
          <w:trHeight w:val="3005"/>
        </w:trPr>
        <w:tc>
          <w:tcPr>
            <w:tcW w:w="1951" w:type="dxa"/>
            <w:shd w:val="clear" w:color="auto" w:fill="BFBFBF" w:themeFill="background1" w:themeFillShade="BF"/>
          </w:tcPr>
          <w:p w:rsidR="0077099F" w:rsidRPr="00146247" w:rsidRDefault="0077099F" w:rsidP="00146247">
            <w:pPr>
              <w:spacing w:before="240" w:line="360" w:lineRule="auto"/>
              <w:rPr>
                <w:rFonts w:ascii="Arial" w:hAnsi="Arial" w:cs="Arial"/>
                <w:b/>
                <w:sz w:val="20"/>
              </w:rPr>
            </w:pPr>
            <w:r w:rsidRPr="00146247">
              <w:rPr>
                <w:rFonts w:ascii="Arial" w:hAnsi="Arial" w:cs="Arial"/>
                <w:b/>
                <w:sz w:val="20"/>
              </w:rPr>
              <w:lastRenderedPageBreak/>
              <w:t>Posición taxonómica</w:t>
            </w:r>
          </w:p>
        </w:tc>
        <w:tc>
          <w:tcPr>
            <w:tcW w:w="1418" w:type="dxa"/>
            <w:gridSpan w:val="2"/>
            <w:tcBorders>
              <w:right w:val="nil"/>
            </w:tcBorders>
          </w:tcPr>
          <w:p w:rsidR="0077099F" w:rsidRPr="00F02E87" w:rsidRDefault="0077099F" w:rsidP="00146247">
            <w:pPr>
              <w:spacing w:before="240" w:line="276" w:lineRule="auto"/>
              <w:rPr>
                <w:rFonts w:ascii="Arial" w:hAnsi="Arial" w:cs="Arial"/>
              </w:rPr>
            </w:pPr>
            <w:r>
              <w:rPr>
                <w:rFonts w:ascii="Arial" w:hAnsi="Arial" w:cs="Arial"/>
              </w:rPr>
              <w:t>Reino:</w:t>
            </w:r>
          </w:p>
          <w:p w:rsidR="0077099F" w:rsidRPr="00F02E87" w:rsidRDefault="0077099F" w:rsidP="00146247">
            <w:pPr>
              <w:spacing w:line="276" w:lineRule="auto"/>
              <w:rPr>
                <w:rFonts w:ascii="Arial" w:hAnsi="Arial" w:cs="Arial"/>
              </w:rPr>
            </w:pPr>
            <w:r>
              <w:rPr>
                <w:rFonts w:ascii="Arial" w:hAnsi="Arial" w:cs="Arial"/>
              </w:rPr>
              <w:t>Filo:</w:t>
            </w:r>
          </w:p>
          <w:p w:rsidR="0077099F" w:rsidRPr="00F02E87" w:rsidRDefault="0077099F" w:rsidP="00146247">
            <w:pPr>
              <w:spacing w:line="276" w:lineRule="auto"/>
              <w:rPr>
                <w:rFonts w:ascii="Arial" w:hAnsi="Arial" w:cs="Arial"/>
              </w:rPr>
            </w:pPr>
            <w:r>
              <w:rPr>
                <w:rFonts w:ascii="Arial" w:hAnsi="Arial" w:cs="Arial"/>
              </w:rPr>
              <w:t>Subfilo:</w:t>
            </w:r>
          </w:p>
          <w:p w:rsidR="0077099F" w:rsidRPr="00F02E87" w:rsidRDefault="0077099F" w:rsidP="00146247">
            <w:pPr>
              <w:spacing w:line="276" w:lineRule="auto"/>
              <w:rPr>
                <w:rFonts w:ascii="Arial" w:hAnsi="Arial" w:cs="Arial"/>
              </w:rPr>
            </w:pPr>
            <w:r>
              <w:rPr>
                <w:rFonts w:ascii="Arial" w:hAnsi="Arial" w:cs="Arial"/>
              </w:rPr>
              <w:t>Clase:</w:t>
            </w:r>
          </w:p>
          <w:p w:rsidR="0077099F" w:rsidRDefault="0077099F" w:rsidP="00146247">
            <w:pPr>
              <w:spacing w:line="276" w:lineRule="auto"/>
              <w:rPr>
                <w:rFonts w:ascii="Arial" w:hAnsi="Arial" w:cs="Arial"/>
              </w:rPr>
            </w:pPr>
            <w:r>
              <w:rPr>
                <w:rFonts w:ascii="Arial" w:hAnsi="Arial" w:cs="Arial"/>
              </w:rPr>
              <w:t>Orden:</w:t>
            </w:r>
          </w:p>
          <w:p w:rsidR="0077099F" w:rsidRPr="00F02E87" w:rsidRDefault="00055236" w:rsidP="00146247">
            <w:pPr>
              <w:spacing w:line="276" w:lineRule="auto"/>
              <w:rPr>
                <w:rFonts w:ascii="Arial" w:hAnsi="Arial" w:cs="Arial"/>
              </w:rPr>
            </w:pPr>
            <w:r>
              <w:rPr>
                <w:rFonts w:ascii="Arial" w:hAnsi="Arial" w:cs="Arial"/>
              </w:rPr>
              <w:t>Infra</w:t>
            </w:r>
            <w:r w:rsidR="0077099F">
              <w:rPr>
                <w:rFonts w:ascii="Arial" w:hAnsi="Arial" w:cs="Arial"/>
              </w:rPr>
              <w:t>orden:</w:t>
            </w:r>
          </w:p>
          <w:p w:rsidR="0077099F" w:rsidRDefault="0077099F" w:rsidP="00146247">
            <w:pPr>
              <w:spacing w:line="276" w:lineRule="auto"/>
              <w:rPr>
                <w:rFonts w:ascii="Arial" w:hAnsi="Arial" w:cs="Arial"/>
              </w:rPr>
            </w:pPr>
            <w:r>
              <w:rPr>
                <w:rFonts w:ascii="Arial" w:hAnsi="Arial" w:cs="Arial"/>
              </w:rPr>
              <w:t xml:space="preserve">Familia: </w:t>
            </w:r>
          </w:p>
          <w:p w:rsidR="0077099F" w:rsidRDefault="0077099F" w:rsidP="00146247">
            <w:pPr>
              <w:spacing w:line="276" w:lineRule="auto"/>
              <w:rPr>
                <w:rFonts w:ascii="Arial" w:hAnsi="Arial" w:cs="Arial"/>
              </w:rPr>
            </w:pPr>
            <w:r>
              <w:rPr>
                <w:rFonts w:ascii="Arial" w:hAnsi="Arial" w:cs="Arial"/>
              </w:rPr>
              <w:t>Género:</w:t>
            </w:r>
          </w:p>
          <w:p w:rsidR="0077099F" w:rsidRDefault="0077099F" w:rsidP="00146247">
            <w:pPr>
              <w:spacing w:line="276" w:lineRule="auto"/>
              <w:rPr>
                <w:rFonts w:ascii="Arial" w:hAnsi="Arial" w:cs="Arial"/>
              </w:rPr>
            </w:pPr>
            <w:r>
              <w:rPr>
                <w:rFonts w:ascii="Arial" w:hAnsi="Arial" w:cs="Arial"/>
              </w:rPr>
              <w:t>Especie:</w:t>
            </w:r>
          </w:p>
        </w:tc>
        <w:tc>
          <w:tcPr>
            <w:tcW w:w="5527" w:type="dxa"/>
            <w:gridSpan w:val="2"/>
            <w:tcBorders>
              <w:left w:val="nil"/>
            </w:tcBorders>
          </w:tcPr>
          <w:p w:rsidR="0077099F" w:rsidRDefault="0077099F" w:rsidP="00146247">
            <w:pPr>
              <w:spacing w:before="240" w:line="276" w:lineRule="auto"/>
              <w:rPr>
                <w:rFonts w:ascii="Arial" w:hAnsi="Arial" w:cs="Arial"/>
              </w:rPr>
            </w:pPr>
            <w:r w:rsidRPr="00F02E87">
              <w:rPr>
                <w:rFonts w:ascii="Arial" w:hAnsi="Arial" w:cs="Arial"/>
              </w:rPr>
              <w:t>Animalia</w:t>
            </w:r>
          </w:p>
          <w:p w:rsidR="0077099F" w:rsidRDefault="0077099F" w:rsidP="00146247">
            <w:pPr>
              <w:spacing w:line="276" w:lineRule="auto"/>
              <w:rPr>
                <w:rFonts w:ascii="Arial" w:hAnsi="Arial" w:cs="Arial"/>
              </w:rPr>
            </w:pPr>
            <w:r>
              <w:rPr>
                <w:rFonts w:ascii="Arial" w:hAnsi="Arial" w:cs="Arial"/>
              </w:rPr>
              <w:t>Arthropoda</w:t>
            </w:r>
          </w:p>
          <w:p w:rsidR="0077099F" w:rsidRDefault="0077099F" w:rsidP="00146247">
            <w:pPr>
              <w:spacing w:line="276" w:lineRule="auto"/>
              <w:rPr>
                <w:rFonts w:ascii="Arial" w:hAnsi="Arial" w:cs="Arial"/>
              </w:rPr>
            </w:pPr>
            <w:r>
              <w:rPr>
                <w:rFonts w:ascii="Arial" w:hAnsi="Arial" w:cs="Arial"/>
              </w:rPr>
              <w:t>Hexapoda</w:t>
            </w:r>
          </w:p>
          <w:p w:rsidR="0077099F" w:rsidRDefault="0077099F" w:rsidP="00146247">
            <w:pPr>
              <w:spacing w:line="276" w:lineRule="auto"/>
              <w:rPr>
                <w:rFonts w:ascii="Arial" w:hAnsi="Arial" w:cs="Arial"/>
              </w:rPr>
            </w:pPr>
            <w:r>
              <w:rPr>
                <w:rFonts w:ascii="Arial" w:hAnsi="Arial" w:cs="Arial"/>
              </w:rPr>
              <w:t>Insecta</w:t>
            </w:r>
          </w:p>
          <w:p w:rsidR="0077099F" w:rsidRDefault="0077099F" w:rsidP="00146247">
            <w:pPr>
              <w:spacing w:line="276" w:lineRule="auto"/>
              <w:rPr>
                <w:rFonts w:ascii="Arial" w:hAnsi="Arial" w:cs="Arial"/>
              </w:rPr>
            </w:pPr>
            <w:r>
              <w:rPr>
                <w:rFonts w:ascii="Arial" w:hAnsi="Arial" w:cs="Arial"/>
              </w:rPr>
              <w:t>Odonata</w:t>
            </w:r>
          </w:p>
          <w:p w:rsidR="0077099F" w:rsidRDefault="00055236" w:rsidP="00146247">
            <w:pPr>
              <w:spacing w:line="276" w:lineRule="auto"/>
              <w:rPr>
                <w:rFonts w:ascii="Arial" w:hAnsi="Arial" w:cs="Arial"/>
              </w:rPr>
            </w:pPr>
            <w:r>
              <w:rPr>
                <w:rFonts w:ascii="Arial" w:hAnsi="Arial" w:cs="Arial"/>
              </w:rPr>
              <w:t>Anisoptera</w:t>
            </w:r>
          </w:p>
          <w:p w:rsidR="0077099F" w:rsidRDefault="00921480" w:rsidP="00146247">
            <w:pPr>
              <w:spacing w:line="276" w:lineRule="auto"/>
              <w:rPr>
                <w:rFonts w:ascii="Arial" w:hAnsi="Arial" w:cs="Arial"/>
              </w:rPr>
            </w:pPr>
            <w:r>
              <w:rPr>
                <w:rFonts w:ascii="Arial" w:hAnsi="Arial" w:cs="Arial"/>
              </w:rPr>
              <w:t>Libellulidae</w:t>
            </w:r>
          </w:p>
          <w:p w:rsidR="00921480" w:rsidRDefault="00921480" w:rsidP="00921480">
            <w:pPr>
              <w:spacing w:line="276" w:lineRule="auto"/>
              <w:rPr>
                <w:rFonts w:ascii="Arial" w:hAnsi="Arial" w:cs="Arial"/>
                <w:i/>
              </w:rPr>
            </w:pPr>
            <w:r>
              <w:rPr>
                <w:rFonts w:ascii="Arial" w:hAnsi="Arial" w:cs="Arial"/>
                <w:i/>
              </w:rPr>
              <w:t>Libellula</w:t>
            </w:r>
          </w:p>
          <w:p w:rsidR="0077099F" w:rsidRPr="00055236" w:rsidRDefault="00921480" w:rsidP="00921480">
            <w:pPr>
              <w:spacing w:line="276" w:lineRule="auto"/>
              <w:rPr>
                <w:rFonts w:ascii="Arial" w:hAnsi="Arial" w:cs="Arial"/>
                <w:i/>
              </w:rPr>
            </w:pPr>
            <w:r w:rsidRPr="00921480">
              <w:rPr>
                <w:rFonts w:ascii="Arial" w:hAnsi="Arial" w:cs="Arial"/>
                <w:i/>
              </w:rPr>
              <w:t>Libellula fulva</w:t>
            </w:r>
          </w:p>
        </w:tc>
      </w:tr>
      <w:tr w:rsidR="003E2C9F" w:rsidTr="00C61C9B">
        <w:trPr>
          <w:trHeight w:val="949"/>
        </w:trPr>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Observaciones taxonómicas</w:t>
            </w:r>
          </w:p>
        </w:tc>
        <w:tc>
          <w:tcPr>
            <w:tcW w:w="6945" w:type="dxa"/>
            <w:gridSpan w:val="4"/>
          </w:tcPr>
          <w:p w:rsidR="001D4573" w:rsidRPr="00043875" w:rsidRDefault="001D4573" w:rsidP="00043875">
            <w:pPr>
              <w:spacing w:before="240" w:line="276" w:lineRule="auto"/>
              <w:rPr>
                <w:rFonts w:ascii="Verdana" w:hAnsi="Verdana"/>
                <w:color w:val="000000"/>
                <w:sz w:val="18"/>
                <w:szCs w:val="18"/>
                <w:shd w:val="clear" w:color="auto" w:fill="FFFFFF"/>
              </w:rPr>
            </w:pP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Propuesta</w:t>
            </w:r>
          </w:p>
        </w:tc>
        <w:tc>
          <w:tcPr>
            <w:tcW w:w="6945" w:type="dxa"/>
            <w:gridSpan w:val="4"/>
          </w:tcPr>
          <w:p w:rsidR="003E2C9F" w:rsidRPr="00F02E87" w:rsidRDefault="007D377E" w:rsidP="00C91A60">
            <w:pPr>
              <w:autoSpaceDE w:val="0"/>
              <w:autoSpaceDN w:val="0"/>
              <w:adjustRightInd w:val="0"/>
              <w:spacing w:before="240" w:line="276" w:lineRule="auto"/>
              <w:jc w:val="both"/>
              <w:rPr>
                <w:rFonts w:ascii="Arial" w:hAnsi="Arial" w:cs="Arial"/>
                <w:color w:val="000000"/>
                <w:szCs w:val="24"/>
              </w:rPr>
            </w:pPr>
            <w:r>
              <w:rPr>
                <w:rFonts w:ascii="Arial" w:hAnsi="Arial" w:cs="Arial"/>
                <w:color w:val="000000"/>
                <w:szCs w:val="24"/>
              </w:rPr>
              <w:t xml:space="preserve">Se propone la </w:t>
            </w:r>
            <w:r w:rsidR="00EE7D3E">
              <w:rPr>
                <w:rFonts w:ascii="Arial" w:hAnsi="Arial" w:cs="Arial"/>
                <w:color w:val="000000"/>
                <w:szCs w:val="24"/>
              </w:rPr>
              <w:t>inclusión</w:t>
            </w:r>
            <w:r w:rsidRPr="00F02E87">
              <w:rPr>
                <w:rFonts w:ascii="Arial" w:hAnsi="Arial" w:cs="Arial"/>
                <w:color w:val="000000"/>
                <w:szCs w:val="24"/>
              </w:rPr>
              <w:t xml:space="preserve"> de la especie </w:t>
            </w:r>
            <w:r w:rsidR="00921480" w:rsidRPr="00921480">
              <w:rPr>
                <w:rFonts w:ascii="Arial" w:hAnsi="Arial" w:cs="Arial"/>
                <w:i/>
              </w:rPr>
              <w:t xml:space="preserve">Libellula fulva </w:t>
            </w:r>
            <w:r w:rsidR="00921480" w:rsidRPr="00921480">
              <w:rPr>
                <w:rFonts w:ascii="Arial" w:hAnsi="Arial" w:cs="Arial"/>
              </w:rPr>
              <w:t>Müller, 1764</w:t>
            </w:r>
            <w:r>
              <w:rPr>
                <w:rFonts w:ascii="Arial" w:hAnsi="Arial" w:cs="Arial"/>
              </w:rPr>
              <w:t xml:space="preserve"> </w:t>
            </w:r>
            <w:r w:rsidR="00EE7D3E">
              <w:rPr>
                <w:rFonts w:ascii="Arial" w:hAnsi="Arial" w:cs="Arial"/>
                <w:color w:val="000000"/>
                <w:szCs w:val="24"/>
              </w:rPr>
              <w:t xml:space="preserve">en </w:t>
            </w:r>
            <w:r w:rsidRPr="00F02E87">
              <w:rPr>
                <w:rFonts w:ascii="Arial" w:hAnsi="Arial" w:cs="Arial"/>
                <w:color w:val="000000"/>
                <w:szCs w:val="24"/>
              </w:rPr>
              <w:t>el Catálogo Vasco de Especies Amenazadas en la categoría de “</w:t>
            </w:r>
            <w:r w:rsidR="00C91A60">
              <w:rPr>
                <w:rFonts w:ascii="Arial" w:hAnsi="Arial" w:cs="Arial"/>
                <w:color w:val="000000"/>
                <w:szCs w:val="24"/>
              </w:rPr>
              <w:t>VULNERABLE (VU)</w:t>
            </w:r>
            <w:r>
              <w:rPr>
                <w:rFonts w:ascii="Arial" w:hAnsi="Arial" w:cs="Arial"/>
                <w:color w:val="000000"/>
                <w:szCs w:val="24"/>
              </w:rPr>
              <w:t>”.</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Responsable de la propuesta</w:t>
            </w:r>
          </w:p>
        </w:tc>
        <w:tc>
          <w:tcPr>
            <w:tcW w:w="6945" w:type="dxa"/>
            <w:gridSpan w:val="4"/>
          </w:tcPr>
          <w:p w:rsidR="003E2C9F" w:rsidRDefault="009A2651" w:rsidP="00146247">
            <w:pPr>
              <w:spacing w:before="240" w:line="276" w:lineRule="auto"/>
              <w:jc w:val="both"/>
              <w:rPr>
                <w:rFonts w:ascii="Arial" w:hAnsi="Arial" w:cs="Arial"/>
              </w:rPr>
            </w:pPr>
            <w:r>
              <w:rPr>
                <w:rFonts w:ascii="Arial" w:hAnsi="Arial" w:cs="Arial"/>
              </w:rPr>
              <w:t>Departamento</w:t>
            </w:r>
            <w:r w:rsidR="008C3364">
              <w:rPr>
                <w:rFonts w:ascii="Arial" w:hAnsi="Arial" w:cs="Arial"/>
              </w:rPr>
              <w:t xml:space="preserve"> de </w:t>
            </w:r>
            <w:r w:rsidR="00486767">
              <w:rPr>
                <w:rFonts w:ascii="Arial" w:hAnsi="Arial" w:cs="Arial"/>
              </w:rPr>
              <w:t xml:space="preserve">Entomología </w:t>
            </w:r>
            <w:r w:rsidR="008C3364">
              <w:rPr>
                <w:rFonts w:ascii="Arial" w:hAnsi="Arial" w:cs="Arial"/>
              </w:rPr>
              <w:t>de l</w:t>
            </w:r>
            <w:r>
              <w:rPr>
                <w:rFonts w:ascii="Arial" w:hAnsi="Arial" w:cs="Arial"/>
              </w:rPr>
              <w:t>a Sociedad de Ciencias Aranzadi</w:t>
            </w:r>
            <w:r w:rsidR="008C3364">
              <w:rPr>
                <w:rFonts w:ascii="Arial" w:hAnsi="Arial" w:cs="Arial"/>
              </w:rPr>
              <w:t>.</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Expertos o Instituciones que apoyan la propuesta</w:t>
            </w:r>
          </w:p>
        </w:tc>
        <w:tc>
          <w:tcPr>
            <w:tcW w:w="6945" w:type="dxa"/>
            <w:gridSpan w:val="4"/>
          </w:tcPr>
          <w:p w:rsidR="000773DC" w:rsidRPr="00A87E91" w:rsidRDefault="009A2651" w:rsidP="00146247">
            <w:pPr>
              <w:spacing w:before="240" w:line="276" w:lineRule="auto"/>
              <w:jc w:val="both"/>
              <w:rPr>
                <w:rFonts w:ascii="Arial" w:hAnsi="Arial" w:cs="Arial"/>
              </w:rPr>
            </w:pPr>
            <w:r w:rsidRPr="00A87E91">
              <w:rPr>
                <w:rFonts w:ascii="Arial" w:hAnsi="Arial" w:cs="Arial"/>
              </w:rPr>
              <w:t>D</w:t>
            </w:r>
            <w:r w:rsidR="008C3364" w:rsidRPr="00A87E91">
              <w:rPr>
                <w:rFonts w:ascii="Arial" w:hAnsi="Arial" w:cs="Arial"/>
              </w:rPr>
              <w:t xml:space="preserve">epartamento de </w:t>
            </w:r>
            <w:r w:rsidR="00486767" w:rsidRPr="00A87E91">
              <w:rPr>
                <w:rFonts w:ascii="Arial" w:hAnsi="Arial" w:cs="Arial"/>
              </w:rPr>
              <w:t>Entomología</w:t>
            </w:r>
            <w:r w:rsidR="008C3364" w:rsidRPr="00A87E91">
              <w:rPr>
                <w:rFonts w:ascii="Arial" w:hAnsi="Arial" w:cs="Arial"/>
              </w:rPr>
              <w:t xml:space="preserve"> de la Sociedad de Ciencias</w:t>
            </w:r>
            <w:r w:rsidR="000773DC" w:rsidRPr="00A87E91">
              <w:rPr>
                <w:rFonts w:ascii="Arial" w:hAnsi="Arial" w:cs="Arial"/>
              </w:rPr>
              <w:t xml:space="preserve"> Aranzadi</w:t>
            </w:r>
            <w:r w:rsidR="00486767" w:rsidRPr="00A87E91">
              <w:rPr>
                <w:rFonts w:ascii="Arial" w:hAnsi="Arial" w:cs="Arial"/>
              </w:rPr>
              <w:t>.</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 xml:space="preserve">Breve </w:t>
            </w:r>
            <w:r w:rsidRPr="0027116A">
              <w:rPr>
                <w:rFonts w:ascii="Arial" w:hAnsi="Arial" w:cs="Arial"/>
                <w:b/>
                <w:sz w:val="20"/>
              </w:rPr>
              <w:t>resumen</w:t>
            </w:r>
            <w:r w:rsidRPr="00146247">
              <w:rPr>
                <w:rFonts w:ascii="Arial" w:hAnsi="Arial" w:cs="Arial"/>
                <w:b/>
                <w:sz w:val="20"/>
              </w:rPr>
              <w:t xml:space="preserve"> de la propuesta y los criterios que la avalan</w:t>
            </w:r>
          </w:p>
        </w:tc>
        <w:tc>
          <w:tcPr>
            <w:tcW w:w="6945" w:type="dxa"/>
            <w:gridSpan w:val="4"/>
          </w:tcPr>
          <w:p w:rsidR="00921480" w:rsidRDefault="00921480" w:rsidP="00C91A60">
            <w:pPr>
              <w:spacing w:before="240" w:line="276" w:lineRule="auto"/>
              <w:jc w:val="both"/>
              <w:rPr>
                <w:rFonts w:ascii="Arial" w:hAnsi="Arial" w:cs="Arial"/>
              </w:rPr>
            </w:pPr>
            <w:r w:rsidRPr="00921480">
              <w:rPr>
                <w:rFonts w:ascii="Arial" w:hAnsi="Arial" w:cs="Arial"/>
                <w:i/>
              </w:rPr>
              <w:t>Libellula fulva</w:t>
            </w:r>
            <w:r>
              <w:rPr>
                <w:rFonts w:ascii="Arial" w:hAnsi="Arial" w:cs="Arial"/>
              </w:rPr>
              <w:t xml:space="preserve"> </w:t>
            </w:r>
            <w:r w:rsidR="0027116A">
              <w:rPr>
                <w:rFonts w:ascii="Arial" w:hAnsi="Arial" w:cs="Arial"/>
              </w:rPr>
              <w:t>es una espe</w:t>
            </w:r>
            <w:r w:rsidR="00A25AF0">
              <w:rPr>
                <w:rFonts w:ascii="Arial" w:hAnsi="Arial" w:cs="Arial"/>
              </w:rPr>
              <w:t>cie muy escasa y de distribución restringida</w:t>
            </w:r>
            <w:r w:rsidR="0027116A">
              <w:rPr>
                <w:rFonts w:ascii="Arial" w:hAnsi="Arial" w:cs="Arial"/>
              </w:rPr>
              <w:t xml:space="preserve"> en el País Vasco, habiéndose encontrado tan solo en Bizkaia en una zona muy localizada. A pesar de haberse confirmado su reproducción en dicha zona, las tendencias poblacionales muestran un acusad</w:t>
            </w:r>
            <w:r w:rsidR="00A25AF0">
              <w:rPr>
                <w:rFonts w:ascii="Arial" w:hAnsi="Arial" w:cs="Arial"/>
              </w:rPr>
              <w:t>o descenso (-50 %), sin citarse recientemente</w:t>
            </w:r>
            <w:r w:rsidR="0027116A">
              <w:rPr>
                <w:rFonts w:ascii="Arial" w:hAnsi="Arial" w:cs="Arial"/>
              </w:rPr>
              <w:t xml:space="preserve"> además del único enclave RN2000 en que se encontraba (Red Fluvial de Urdaibai).</w:t>
            </w:r>
            <w:r w:rsidR="00A25AF0">
              <w:rPr>
                <w:rFonts w:ascii="Arial" w:hAnsi="Arial" w:cs="Arial"/>
              </w:rPr>
              <w:t xml:space="preserve"> Si no se propone una categoría mayor de amenaza es por su situación de preocupación menor (LC) en Europa (Boudot &amp; Kalkman, 2015).</w:t>
            </w:r>
          </w:p>
          <w:p w:rsidR="003E2C9F" w:rsidRDefault="000429F0" w:rsidP="00C91A60">
            <w:pPr>
              <w:spacing w:before="240" w:line="276" w:lineRule="auto"/>
              <w:jc w:val="both"/>
              <w:rPr>
                <w:rFonts w:ascii="Arial" w:hAnsi="Arial" w:cs="Arial"/>
              </w:rPr>
            </w:pPr>
            <w:r>
              <w:rPr>
                <w:rFonts w:ascii="Arial" w:hAnsi="Arial" w:cs="Arial"/>
              </w:rPr>
              <w:t xml:space="preserve">Es por ello que se propone su </w:t>
            </w:r>
            <w:r w:rsidR="0017433F">
              <w:rPr>
                <w:rFonts w:ascii="Arial" w:hAnsi="Arial" w:cs="Arial"/>
              </w:rPr>
              <w:t>inclusión en la categoría de</w:t>
            </w:r>
            <w:r>
              <w:rPr>
                <w:rFonts w:ascii="Arial" w:hAnsi="Arial" w:cs="Arial"/>
              </w:rPr>
              <w:t xml:space="preserve"> </w:t>
            </w:r>
            <w:r w:rsidR="00C91A60">
              <w:rPr>
                <w:rFonts w:ascii="Arial" w:hAnsi="Arial" w:cs="Arial"/>
              </w:rPr>
              <w:t>VULNERABLE</w:t>
            </w:r>
            <w:r>
              <w:rPr>
                <w:rFonts w:ascii="Arial" w:hAnsi="Arial" w:cs="Arial"/>
              </w:rPr>
              <w:t xml:space="preserve"> para el Catálogo Vasco de Especies Amenazadas.</w:t>
            </w:r>
          </w:p>
        </w:tc>
      </w:tr>
      <w:tr w:rsidR="00BA37B2" w:rsidTr="0033102E">
        <w:trPr>
          <w:trHeight w:val="2695"/>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27116A">
              <w:rPr>
                <w:rFonts w:ascii="Arial" w:hAnsi="Arial" w:cs="Arial"/>
                <w:b/>
                <w:sz w:val="20"/>
              </w:rPr>
              <w:t>Aplicación</w:t>
            </w:r>
            <w:r w:rsidRPr="00146247">
              <w:rPr>
                <w:rFonts w:ascii="Arial" w:hAnsi="Arial" w:cs="Arial"/>
                <w:b/>
                <w:sz w:val="20"/>
              </w:rPr>
              <w:t xml:space="preserve"> de los Criterios Orientadores de catalogación (resolución 6 marzo 2017) (BOE nº 65, 17/03/2017)</w:t>
            </w:r>
          </w:p>
        </w:tc>
        <w:tc>
          <w:tcPr>
            <w:tcW w:w="6945" w:type="dxa"/>
            <w:gridSpan w:val="4"/>
          </w:tcPr>
          <w:p w:rsidR="0050341C" w:rsidRPr="0027116A" w:rsidRDefault="0027116A" w:rsidP="0027116A">
            <w:pPr>
              <w:tabs>
                <w:tab w:val="left" w:pos="943"/>
              </w:tabs>
              <w:spacing w:before="240" w:line="276" w:lineRule="auto"/>
              <w:jc w:val="both"/>
              <w:rPr>
                <w:rFonts w:ascii="Arial" w:hAnsi="Arial" w:cs="Arial"/>
              </w:rPr>
            </w:pPr>
            <w:r>
              <w:rPr>
                <w:rFonts w:ascii="Arial" w:hAnsi="Arial" w:cs="Arial"/>
              </w:rPr>
              <w:t xml:space="preserve">La especie </w:t>
            </w:r>
            <w:r>
              <w:rPr>
                <w:rFonts w:ascii="Arial" w:hAnsi="Arial" w:cs="Arial"/>
                <w:i/>
              </w:rPr>
              <w:t xml:space="preserve">Libellula fulva </w:t>
            </w:r>
            <w:r>
              <w:rPr>
                <w:rFonts w:ascii="Arial" w:hAnsi="Arial" w:cs="Arial"/>
              </w:rPr>
              <w:t>muestra u</w:t>
            </w:r>
            <w:r w:rsidRPr="0027116A">
              <w:rPr>
                <w:rFonts w:ascii="Arial" w:hAnsi="Arial" w:cs="Arial"/>
              </w:rPr>
              <w:t>na reducción del 5</w:t>
            </w:r>
            <w:r>
              <w:rPr>
                <w:rFonts w:ascii="Arial" w:hAnsi="Arial" w:cs="Arial"/>
              </w:rPr>
              <w:t xml:space="preserve">0% en su tamaño poblacional en los últimos 10 años, con lo cual se </w:t>
            </w:r>
            <w:r w:rsidRPr="0017700F">
              <w:rPr>
                <w:rFonts w:ascii="Arial" w:hAnsi="Arial" w:cs="Arial"/>
              </w:rPr>
              <w:t xml:space="preserve">propone </w:t>
            </w:r>
            <w:r>
              <w:rPr>
                <w:rFonts w:ascii="Arial" w:hAnsi="Arial" w:cs="Arial"/>
              </w:rPr>
              <w:t xml:space="preserve">su inclusión en </w:t>
            </w:r>
            <w:r w:rsidRPr="0017700F">
              <w:rPr>
                <w:rFonts w:ascii="Arial" w:hAnsi="Arial" w:cs="Arial"/>
              </w:rPr>
              <w:t xml:space="preserve">la categoría de </w:t>
            </w:r>
            <w:r>
              <w:rPr>
                <w:rFonts w:ascii="Arial" w:hAnsi="Arial" w:cs="Arial"/>
                <w:b/>
              </w:rPr>
              <w:t>VULNERABLE</w:t>
            </w:r>
            <w:r>
              <w:rPr>
                <w:rFonts w:ascii="Arial" w:hAnsi="Arial" w:cs="Arial"/>
              </w:rPr>
              <w:t xml:space="preserve"> en el Catálogo Vasco de Especies Amenazadas.</w:t>
            </w:r>
          </w:p>
        </w:tc>
      </w:tr>
      <w:tr w:rsidR="00BA37B2" w:rsidTr="00146247">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Situación legal y de conservación</w:t>
            </w:r>
          </w:p>
        </w:tc>
        <w:tc>
          <w:tcPr>
            <w:tcW w:w="6945" w:type="dxa"/>
            <w:gridSpan w:val="4"/>
          </w:tcPr>
          <w:p w:rsidR="003E48D3" w:rsidRPr="00486767" w:rsidRDefault="00030DCB" w:rsidP="00613B5B">
            <w:pPr>
              <w:autoSpaceDE w:val="0"/>
              <w:autoSpaceDN w:val="0"/>
              <w:adjustRightInd w:val="0"/>
              <w:spacing w:before="240" w:after="160" w:line="276" w:lineRule="auto"/>
              <w:jc w:val="both"/>
              <w:rPr>
                <w:rFonts w:ascii="Arial" w:hAnsi="Arial" w:cs="Arial"/>
              </w:rPr>
            </w:pPr>
            <w:r>
              <w:rPr>
                <w:rFonts w:ascii="Arial" w:hAnsi="Arial" w:cs="Arial"/>
              </w:rPr>
              <w:t>PREOCUPACIÓN MENOR</w:t>
            </w:r>
            <w:r w:rsidR="001B2A6C">
              <w:rPr>
                <w:rFonts w:ascii="Arial" w:hAnsi="Arial" w:cs="Arial"/>
              </w:rPr>
              <w:t xml:space="preserve"> (</w:t>
            </w:r>
            <w:r>
              <w:rPr>
                <w:rFonts w:ascii="Arial" w:hAnsi="Arial" w:cs="Arial"/>
              </w:rPr>
              <w:t>LC</w:t>
            </w:r>
            <w:r w:rsidR="001B2A6C">
              <w:rPr>
                <w:rFonts w:ascii="Arial" w:hAnsi="Arial" w:cs="Arial"/>
              </w:rPr>
              <w:t>)</w:t>
            </w:r>
            <w:r w:rsidR="007806CE">
              <w:rPr>
                <w:rFonts w:ascii="Arial" w:hAnsi="Arial" w:cs="Arial"/>
              </w:rPr>
              <w:t xml:space="preserve"> a nivel regional</w:t>
            </w:r>
            <w:r>
              <w:rPr>
                <w:rFonts w:ascii="Arial" w:hAnsi="Arial" w:cs="Arial"/>
              </w:rPr>
              <w:t xml:space="preserve"> y</w:t>
            </w:r>
            <w:r w:rsidR="0094292F">
              <w:rPr>
                <w:rFonts w:ascii="Arial" w:hAnsi="Arial" w:cs="Arial"/>
              </w:rPr>
              <w:t xml:space="preserve"> europeo</w:t>
            </w:r>
            <w:r w:rsidR="001B2A6C">
              <w:rPr>
                <w:rFonts w:ascii="Arial" w:hAnsi="Arial" w:cs="Arial"/>
              </w:rPr>
              <w:t xml:space="preserve"> (</w:t>
            </w:r>
            <w:r w:rsidR="0094292F">
              <w:rPr>
                <w:rFonts w:ascii="Arial" w:hAnsi="Arial" w:cs="Arial"/>
              </w:rPr>
              <w:t xml:space="preserve">IUCN – </w:t>
            </w:r>
            <w:r w:rsidR="001B2A6C" w:rsidRPr="00621BEE">
              <w:rPr>
                <w:rFonts w:ascii="Arial" w:hAnsi="Arial" w:cs="Arial"/>
              </w:rPr>
              <w:t>Boudot</w:t>
            </w:r>
            <w:r w:rsidR="0094292F">
              <w:rPr>
                <w:rFonts w:ascii="Arial" w:hAnsi="Arial" w:cs="Arial"/>
              </w:rPr>
              <w:t xml:space="preserve"> </w:t>
            </w:r>
            <w:r w:rsidR="001B2A6C" w:rsidRPr="00621BEE">
              <w:rPr>
                <w:rFonts w:ascii="Arial" w:hAnsi="Arial" w:cs="Arial"/>
              </w:rPr>
              <w:t>&amp; Kalkman, 2015</w:t>
            </w:r>
            <w:r w:rsidR="001B2A6C">
              <w:rPr>
                <w:rFonts w:ascii="Arial" w:hAnsi="Arial" w:cs="Arial"/>
              </w:rPr>
              <w:t>).</w:t>
            </w:r>
          </w:p>
        </w:tc>
      </w:tr>
      <w:tr w:rsidR="00BA37B2" w:rsidTr="00146247">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27116A">
              <w:rPr>
                <w:rFonts w:ascii="Arial" w:hAnsi="Arial" w:cs="Arial"/>
                <w:b/>
                <w:sz w:val="20"/>
              </w:rPr>
              <w:t>Área</w:t>
            </w:r>
            <w:r w:rsidRPr="00146247">
              <w:rPr>
                <w:rFonts w:ascii="Arial" w:hAnsi="Arial" w:cs="Arial"/>
                <w:b/>
                <w:sz w:val="20"/>
              </w:rPr>
              <w:t xml:space="preserve"> de distribución. Evolución</w:t>
            </w:r>
          </w:p>
        </w:tc>
        <w:tc>
          <w:tcPr>
            <w:tcW w:w="6945" w:type="dxa"/>
            <w:gridSpan w:val="4"/>
          </w:tcPr>
          <w:p w:rsidR="00CB0D75" w:rsidRPr="00CB0D75" w:rsidRDefault="00CB0D75" w:rsidP="00146247">
            <w:pPr>
              <w:spacing w:before="240" w:line="276" w:lineRule="auto"/>
              <w:jc w:val="both"/>
              <w:rPr>
                <w:rFonts w:ascii="Arial" w:hAnsi="Arial" w:cs="Arial"/>
                <w:b/>
                <w:lang w:eastAsia="es-ES"/>
              </w:rPr>
            </w:pPr>
            <w:r w:rsidRPr="00CB0D75">
              <w:rPr>
                <w:rFonts w:ascii="Arial" w:hAnsi="Arial" w:cs="Arial"/>
                <w:b/>
                <w:lang w:eastAsia="es-ES"/>
              </w:rPr>
              <w:t>Número de cuadrículas UTM 10x10 km</w:t>
            </w:r>
            <w:r w:rsidR="007C207E" w:rsidRPr="007C207E">
              <w:rPr>
                <w:rFonts w:ascii="Arial" w:hAnsi="Arial" w:cs="Arial"/>
                <w:b/>
                <w:vertAlign w:val="superscript"/>
                <w:lang w:eastAsia="es-ES"/>
              </w:rPr>
              <w:t>1</w:t>
            </w:r>
            <w:r w:rsidR="00EE7D3E">
              <w:rPr>
                <w:rFonts w:ascii="Arial" w:hAnsi="Arial" w:cs="Arial"/>
                <w:b/>
                <w:lang w:eastAsia="es-ES"/>
              </w:rPr>
              <w:t xml:space="preserve"> en los últimos diez años</w:t>
            </w:r>
            <w:r w:rsidRPr="00CB0D75">
              <w:rPr>
                <w:rFonts w:ascii="Arial" w:hAnsi="Arial" w:cs="Arial"/>
                <w:b/>
                <w:lang w:eastAsia="es-ES"/>
              </w:rPr>
              <w:t>:</w:t>
            </w:r>
          </w:p>
          <w:p w:rsidR="00CB0D75" w:rsidRPr="00CB0D75" w:rsidRDefault="007E5B47" w:rsidP="00CB0D75">
            <w:pPr>
              <w:pStyle w:val="Prrafodelista"/>
              <w:numPr>
                <w:ilvl w:val="0"/>
                <w:numId w:val="14"/>
              </w:numPr>
              <w:spacing w:line="276" w:lineRule="auto"/>
              <w:ind w:left="1168"/>
              <w:jc w:val="both"/>
              <w:rPr>
                <w:rFonts w:ascii="Arial" w:hAnsi="Arial" w:cs="Arial"/>
                <w:b/>
                <w:lang w:eastAsia="es-ES"/>
              </w:rPr>
            </w:pPr>
            <w:r>
              <w:rPr>
                <w:rFonts w:ascii="Arial" w:hAnsi="Arial" w:cs="Arial"/>
                <w:b/>
                <w:lang w:eastAsia="es-ES"/>
              </w:rPr>
              <w:t xml:space="preserve">CAPV: </w:t>
            </w:r>
            <w:r w:rsidR="00030DCB">
              <w:rPr>
                <w:rFonts w:ascii="Arial" w:hAnsi="Arial" w:cs="Arial"/>
                <w:b/>
                <w:lang w:eastAsia="es-ES"/>
              </w:rPr>
              <w:t>5</w:t>
            </w:r>
            <w:r w:rsidR="00CB0D75" w:rsidRPr="00CB0D75">
              <w:rPr>
                <w:rFonts w:ascii="Arial" w:hAnsi="Arial" w:cs="Arial"/>
                <w:b/>
                <w:lang w:eastAsia="es-ES"/>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Atlántica: </w:t>
            </w:r>
            <w:r w:rsidR="00030DCB">
              <w:rPr>
                <w:rFonts w:ascii="Arial" w:hAnsi="Arial" w:cs="Arial"/>
                <w:b/>
                <w:lang w:eastAsia="es-ES"/>
              </w:rPr>
              <w:t>5</w:t>
            </w:r>
            <w:r w:rsidRPr="00CB0D75">
              <w:rPr>
                <w:rFonts w:ascii="Arial" w:hAnsi="Arial" w:cs="Arial"/>
                <w:b/>
                <w:lang w:eastAsia="es-ES"/>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Mediterránea: </w:t>
            </w:r>
            <w:r w:rsidR="00030DCB">
              <w:rPr>
                <w:rFonts w:ascii="Arial" w:hAnsi="Arial" w:cs="Arial"/>
                <w:b/>
                <w:lang w:eastAsia="es-ES"/>
              </w:rPr>
              <w:t>no citada</w:t>
            </w:r>
            <w:r w:rsidRPr="00CB0D75">
              <w:rPr>
                <w:rFonts w:ascii="Arial" w:hAnsi="Arial" w:cs="Arial"/>
                <w:b/>
                <w:lang w:eastAsia="es-ES"/>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Dentro de espacios </w:t>
            </w:r>
            <w:r w:rsidRPr="00CB0D75">
              <w:rPr>
                <w:rFonts w:ascii="Arial" w:hAnsi="Arial" w:cs="Arial"/>
                <w:b/>
              </w:rPr>
              <w:t xml:space="preserve">Red Natura 2000: </w:t>
            </w:r>
            <w:r w:rsidR="00030DCB">
              <w:rPr>
                <w:rFonts w:ascii="Arial" w:hAnsi="Arial" w:cs="Arial"/>
                <w:b/>
                <w:lang w:eastAsia="es-ES"/>
              </w:rPr>
              <w:t>1</w:t>
            </w:r>
            <w:r w:rsidRPr="00CB0D75">
              <w:rPr>
                <w:rFonts w:ascii="Arial" w:hAnsi="Arial" w:cs="Arial"/>
                <w:b/>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rPr>
              <w:t xml:space="preserve">Fuera de </w:t>
            </w:r>
            <w:r w:rsidRPr="00CB0D75">
              <w:rPr>
                <w:rFonts w:ascii="Arial" w:hAnsi="Arial" w:cs="Arial"/>
                <w:b/>
                <w:lang w:eastAsia="es-ES"/>
              </w:rPr>
              <w:t xml:space="preserve">espacios </w:t>
            </w:r>
            <w:r w:rsidRPr="00CB0D75">
              <w:rPr>
                <w:rFonts w:ascii="Arial" w:hAnsi="Arial" w:cs="Arial"/>
                <w:b/>
              </w:rPr>
              <w:t xml:space="preserve">Red Natura 2000: </w:t>
            </w:r>
            <w:r w:rsidR="00030DCB">
              <w:rPr>
                <w:rFonts w:ascii="Arial" w:hAnsi="Arial" w:cs="Arial"/>
                <w:b/>
                <w:lang w:eastAsia="es-ES"/>
              </w:rPr>
              <w:t>4</w:t>
            </w:r>
            <w:r w:rsidRPr="00CB0D75">
              <w:rPr>
                <w:rFonts w:ascii="Arial" w:hAnsi="Arial" w:cs="Arial"/>
                <w:b/>
              </w:rPr>
              <w:t>.</w:t>
            </w:r>
          </w:p>
          <w:p w:rsidR="007C207E" w:rsidRDefault="007C207E" w:rsidP="00146247">
            <w:pPr>
              <w:spacing w:before="240" w:line="276" w:lineRule="auto"/>
              <w:jc w:val="both"/>
              <w:rPr>
                <w:rFonts w:ascii="Arial" w:hAnsi="Arial" w:cs="Arial"/>
                <w:lang w:eastAsia="es-ES"/>
              </w:rPr>
            </w:pPr>
            <w:r w:rsidRPr="007C207E">
              <w:rPr>
                <w:rFonts w:ascii="Arial" w:hAnsi="Arial" w:cs="Arial"/>
                <w:sz w:val="16"/>
                <w:szCs w:val="16"/>
                <w:vertAlign w:val="superscript"/>
              </w:rPr>
              <w:t>1</w:t>
            </w:r>
            <w:r>
              <w:rPr>
                <w:rFonts w:ascii="Arial" w:hAnsi="Arial" w:cs="Arial"/>
                <w:sz w:val="16"/>
                <w:szCs w:val="16"/>
              </w:rPr>
              <w:t>La ausencia de registros a precisión 1x1 km, unido al hecho de que algunas cuadrículas 10x10 km tienen regiones de distinta índole, hace que las sumas de distintas áreas no equivalgan al total de la CAPV. Del mismo modo, la falta de precisión puede originar una sobreestimación de los registros que quedan fuera de RN2000 respecto a los que quedan claramente dentro</w:t>
            </w:r>
            <w:r w:rsidR="007E5B47">
              <w:rPr>
                <w:rFonts w:ascii="Arial" w:hAnsi="Arial" w:cs="Arial"/>
                <w:sz w:val="16"/>
                <w:szCs w:val="16"/>
              </w:rPr>
              <w:t>.</w:t>
            </w:r>
          </w:p>
          <w:p w:rsidR="00DC1D7A" w:rsidRDefault="00030DCB" w:rsidP="00146247">
            <w:pPr>
              <w:spacing w:before="240" w:line="276" w:lineRule="auto"/>
              <w:jc w:val="both"/>
              <w:rPr>
                <w:rFonts w:ascii="Arial" w:hAnsi="Arial" w:cs="Arial"/>
                <w:lang w:eastAsia="es-ES"/>
              </w:rPr>
            </w:pPr>
            <w:r>
              <w:rPr>
                <w:rFonts w:ascii="Arial" w:hAnsi="Arial" w:cs="Arial"/>
                <w:lang w:eastAsia="es-ES"/>
              </w:rPr>
              <w:t>Se trata de una especie muy extendida por Europa</w:t>
            </w:r>
            <w:r w:rsidR="00DC1D7A">
              <w:rPr>
                <w:rFonts w:ascii="Arial" w:hAnsi="Arial" w:cs="Arial"/>
                <w:lang w:eastAsia="es-ES"/>
              </w:rPr>
              <w:t>, aunque en muchas zonas presenta una distribución fragmentada, siendo en algunas poco común, como es el caso de la Península Ibérica (</w:t>
            </w:r>
            <w:r w:rsidR="00DC1D7A" w:rsidRPr="00621BEE">
              <w:rPr>
                <w:rFonts w:ascii="Arial" w:hAnsi="Arial" w:cs="Arial"/>
              </w:rPr>
              <w:t>Boudot</w:t>
            </w:r>
            <w:r w:rsidR="00DC1D7A">
              <w:rPr>
                <w:rFonts w:ascii="Arial" w:hAnsi="Arial" w:cs="Arial"/>
              </w:rPr>
              <w:t xml:space="preserve"> </w:t>
            </w:r>
            <w:r w:rsidR="00DC1D7A" w:rsidRPr="00621BEE">
              <w:rPr>
                <w:rFonts w:ascii="Arial" w:hAnsi="Arial" w:cs="Arial"/>
              </w:rPr>
              <w:t>&amp; Kalkman, 2015</w:t>
            </w:r>
            <w:r w:rsidR="00DC1D7A">
              <w:rPr>
                <w:rFonts w:ascii="Arial" w:hAnsi="Arial" w:cs="Arial"/>
                <w:lang w:eastAsia="es-ES"/>
              </w:rPr>
              <w:t>).</w:t>
            </w:r>
          </w:p>
          <w:p w:rsidR="002419C0" w:rsidRDefault="00DC1D7A" w:rsidP="00146247">
            <w:pPr>
              <w:spacing w:before="240" w:line="276" w:lineRule="auto"/>
              <w:jc w:val="both"/>
              <w:rPr>
                <w:rFonts w:ascii="Arial" w:hAnsi="Arial" w:cs="Arial"/>
                <w:lang w:eastAsia="es-ES"/>
              </w:rPr>
            </w:pPr>
            <w:r>
              <w:rPr>
                <w:rFonts w:ascii="Arial" w:hAnsi="Arial" w:cs="Arial"/>
                <w:lang w:eastAsia="es-ES"/>
              </w:rPr>
              <w:t xml:space="preserve">Sus citas a nivel estatal son muy escasas (Mezquita, 2012). En el País Vasco apenas hay 7 registros de la especie, habiéndose encontrado </w:t>
            </w:r>
            <w:r w:rsidR="002E085C">
              <w:rPr>
                <w:rFonts w:ascii="Arial" w:hAnsi="Arial" w:cs="Arial"/>
                <w:lang w:eastAsia="es-ES"/>
              </w:rPr>
              <w:t xml:space="preserve">recientemente (la primera cita </w:t>
            </w:r>
            <w:r w:rsidR="00990D08">
              <w:rPr>
                <w:rFonts w:ascii="Arial" w:hAnsi="Arial" w:cs="Arial"/>
                <w:lang w:eastAsia="es-ES"/>
              </w:rPr>
              <w:t xml:space="preserve">en País Vasco es de 2009) y </w:t>
            </w:r>
            <w:r>
              <w:rPr>
                <w:rFonts w:ascii="Arial" w:hAnsi="Arial" w:cs="Arial"/>
                <w:lang w:eastAsia="es-ES"/>
              </w:rPr>
              <w:t xml:space="preserve">tan solo en Bizkaia. </w:t>
            </w:r>
            <w:r w:rsidR="002E085C">
              <w:rPr>
                <w:rFonts w:ascii="Arial" w:hAnsi="Arial" w:cs="Arial"/>
                <w:lang w:eastAsia="es-ES"/>
              </w:rPr>
              <w:t>Con tan pocos datos, las tendencias que aquí se describan son tan solo orientativas.</w:t>
            </w:r>
          </w:p>
          <w:p w:rsidR="002E085C" w:rsidRDefault="00990D08" w:rsidP="00146247">
            <w:pPr>
              <w:spacing w:before="240" w:line="276" w:lineRule="auto"/>
              <w:jc w:val="both"/>
              <w:rPr>
                <w:rFonts w:ascii="Arial" w:hAnsi="Arial" w:cs="Arial"/>
                <w:lang w:eastAsia="es-ES"/>
              </w:rPr>
            </w:pPr>
            <w:r>
              <w:rPr>
                <w:rFonts w:ascii="Arial" w:hAnsi="Arial" w:cs="Arial"/>
                <w:lang w:eastAsia="es-ES"/>
              </w:rPr>
              <w:t>En general, la especie muestra estabilidad tanto a nivel de la Comunidad Autónoma como en la vertiente atlántica (estimador de tendencia igual a 0%). Tal como se ve en la Figura 1, el número de cuadrículas UTM 10x10 km con registros de la especie se ha mantenido en los últimos 10 años.</w:t>
            </w:r>
          </w:p>
          <w:p w:rsidR="00990D08" w:rsidRDefault="00990D08" w:rsidP="00146247">
            <w:pPr>
              <w:spacing w:before="240" w:line="276" w:lineRule="auto"/>
              <w:jc w:val="both"/>
              <w:rPr>
                <w:rFonts w:ascii="Arial" w:hAnsi="Arial" w:cs="Arial"/>
                <w:lang w:eastAsia="es-ES"/>
              </w:rPr>
            </w:pPr>
            <w:r>
              <w:rPr>
                <w:rFonts w:ascii="Arial" w:hAnsi="Arial" w:cs="Arial"/>
                <w:lang w:eastAsia="es-ES"/>
              </w:rPr>
              <w:t>Es imp</w:t>
            </w:r>
            <w:r w:rsidR="00A25AF0">
              <w:rPr>
                <w:rFonts w:ascii="Arial" w:hAnsi="Arial" w:cs="Arial"/>
                <w:lang w:eastAsia="es-ES"/>
              </w:rPr>
              <w:t>ortante destacar la falta de registros</w:t>
            </w:r>
            <w:r>
              <w:rPr>
                <w:rFonts w:ascii="Arial" w:hAnsi="Arial" w:cs="Arial"/>
                <w:lang w:eastAsia="es-ES"/>
              </w:rPr>
              <w:t xml:space="preserve"> de la especie en los últimos años del único enclave de la RN2000 en que se había citado: Red Fluvial de Urdaibai (</w:t>
            </w:r>
            <w:r w:rsidRPr="00AB1224">
              <w:rPr>
                <w:rFonts w:ascii="Arial" w:hAnsi="Arial" w:cs="Arial"/>
                <w:lang w:eastAsia="es-ES"/>
              </w:rPr>
              <w:t>ES2130006</w:t>
            </w:r>
            <w:r w:rsidR="00A25AF0">
              <w:rPr>
                <w:rFonts w:ascii="Arial" w:hAnsi="Arial" w:cs="Arial"/>
                <w:lang w:eastAsia="es-ES"/>
              </w:rPr>
              <w:t>). El</w:t>
            </w:r>
            <w:r>
              <w:rPr>
                <w:rFonts w:ascii="Arial" w:hAnsi="Arial" w:cs="Arial"/>
                <w:lang w:eastAsia="es-ES"/>
              </w:rPr>
              <w:t xml:space="preserve"> estimador de tendencia tanto poblacional como geográfico alcanza el valor de -100%. Sería conveniente realizar un seguimiento más exhaustivo en esta cuadrícula para confirmar la desaparición de la especie y, en su caso, intentar determinar las causas.</w:t>
            </w:r>
          </w:p>
          <w:p w:rsidR="00DC1D7A" w:rsidRDefault="00990D08" w:rsidP="00146247">
            <w:pPr>
              <w:spacing w:before="240" w:line="276" w:lineRule="auto"/>
              <w:jc w:val="both"/>
              <w:rPr>
                <w:rFonts w:ascii="Arial" w:hAnsi="Arial" w:cs="Arial"/>
                <w:lang w:eastAsia="es-ES"/>
              </w:rPr>
            </w:pPr>
            <w:r>
              <w:rPr>
                <w:rFonts w:ascii="Arial" w:hAnsi="Arial" w:cs="Arial"/>
                <w:lang w:eastAsia="es-ES"/>
              </w:rPr>
              <w:t>Por último, es importante destacar que, a pesar de lo limitado de los datos y la escasa distribución de la especie en la CAPV, gracias a los registros larvarios se puede confirmar la reproducción en la zona.</w:t>
            </w:r>
          </w:p>
          <w:p w:rsidR="00990D08" w:rsidRPr="00006C50" w:rsidRDefault="00990D08" w:rsidP="00146247">
            <w:pPr>
              <w:spacing w:before="240" w:line="276" w:lineRule="auto"/>
              <w:jc w:val="both"/>
              <w:rPr>
                <w:rFonts w:ascii="Arial" w:hAnsi="Arial" w:cs="Arial"/>
                <w:lang w:eastAsia="es-ES"/>
              </w:rPr>
            </w:pPr>
            <w:r>
              <w:rPr>
                <w:rFonts w:ascii="Arial" w:hAnsi="Arial" w:cs="Arial"/>
                <w:lang w:eastAsia="es-ES"/>
              </w:rPr>
              <w:t>Por todo ello, se define la amplitud geográfica de la especie como estable.</w:t>
            </w:r>
          </w:p>
          <w:p w:rsidR="00146247" w:rsidRDefault="00CB0D75" w:rsidP="00146247">
            <w:pPr>
              <w:spacing w:before="240" w:line="276" w:lineRule="auto"/>
              <w:jc w:val="both"/>
              <w:rPr>
                <w:rFonts w:ascii="Arial" w:eastAsia="Calibri" w:hAnsi="Arial" w:cs="Arial"/>
                <w:noProof/>
                <w:sz w:val="20"/>
                <w:lang w:eastAsia="es-ES"/>
              </w:rPr>
            </w:pPr>
            <w:r>
              <w:rPr>
                <w:rFonts w:ascii="Arial" w:eastAsia="Calibri" w:hAnsi="Arial" w:cs="Arial"/>
                <w:noProof/>
                <w:sz w:val="20"/>
                <w:lang w:eastAsia="es-ES"/>
              </w:rPr>
              <w:drawing>
                <wp:inline distT="0" distB="0" distL="0" distR="0" wp14:anchorId="63A06326" wp14:editId="1B08A02B">
                  <wp:extent cx="4264601" cy="3333750"/>
                  <wp:effectExtent l="0" t="0" r="3175" b="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romia splendens.png"/>
                          <pic:cNvPicPr/>
                        </pic:nvPicPr>
                        <pic:blipFill rotWithShape="1">
                          <a:blip r:embed="rId10" cstate="print">
                            <a:extLst>
                              <a:ext uri="{28A0092B-C50C-407E-A947-70E740481C1C}">
                                <a14:useLocalDpi xmlns:a14="http://schemas.microsoft.com/office/drawing/2010/main" val="0"/>
                              </a:ext>
                            </a:extLst>
                          </a:blip>
                          <a:srcRect l="5559" t="1572" r="6824" b="1572"/>
                          <a:stretch/>
                        </pic:blipFill>
                        <pic:spPr bwMode="auto">
                          <a:xfrm>
                            <a:off x="0" y="0"/>
                            <a:ext cx="4266322" cy="3335095"/>
                          </a:xfrm>
                          <a:prstGeom prst="rect">
                            <a:avLst/>
                          </a:prstGeom>
                          <a:ln>
                            <a:noFill/>
                          </a:ln>
                          <a:extLst>
                            <a:ext uri="{53640926-AAD7-44D8-BBD7-CCE9431645EC}">
                              <a14:shadowObscured xmlns:a14="http://schemas.microsoft.com/office/drawing/2010/main"/>
                            </a:ext>
                          </a:extLst>
                        </pic:spPr>
                      </pic:pic>
                    </a:graphicData>
                  </a:graphic>
                </wp:inline>
              </w:drawing>
            </w:r>
          </w:p>
          <w:p w:rsidR="0039742E" w:rsidRPr="00C56915" w:rsidRDefault="00146247" w:rsidP="00C91A60">
            <w:pPr>
              <w:spacing w:before="240" w:line="276" w:lineRule="auto"/>
              <w:jc w:val="both"/>
              <w:rPr>
                <w:rFonts w:ascii="Arial" w:eastAsia="Calibri" w:hAnsi="Arial" w:cs="Arial"/>
                <w:sz w:val="20"/>
                <w:lang w:val="es-ES_tradnl"/>
              </w:rPr>
            </w:pPr>
            <w:r w:rsidRPr="00146247">
              <w:rPr>
                <w:rFonts w:ascii="Arial" w:eastAsia="Calibri" w:hAnsi="Arial" w:cs="Arial"/>
                <w:b/>
                <w:sz w:val="18"/>
                <w:lang w:val="es-ES_tradnl"/>
              </w:rPr>
              <w:t>Figura 1.</w:t>
            </w:r>
            <w:r w:rsidRPr="00146247">
              <w:rPr>
                <w:rFonts w:ascii="Arial" w:eastAsia="Calibri" w:hAnsi="Arial" w:cs="Arial"/>
                <w:sz w:val="18"/>
                <w:lang w:val="es-ES_tradnl"/>
              </w:rPr>
              <w:t xml:space="preserve"> Área de distribución de </w:t>
            </w:r>
            <w:r w:rsidR="00921480" w:rsidRPr="00921480">
              <w:rPr>
                <w:rFonts w:ascii="Arial" w:hAnsi="Arial" w:cs="Arial"/>
                <w:i/>
                <w:sz w:val="20"/>
              </w:rPr>
              <w:t>Libellula fulva</w:t>
            </w:r>
            <w:r w:rsidRPr="00146247">
              <w:rPr>
                <w:rFonts w:ascii="Arial" w:eastAsia="Calibri" w:hAnsi="Arial" w:cs="Arial"/>
                <w:sz w:val="18"/>
                <w:lang w:val="es-ES_tradnl"/>
              </w:rPr>
              <w:t xml:space="preserve"> en el País Vasco.</w:t>
            </w:r>
            <w:r>
              <w:rPr>
                <w:rFonts w:ascii="Arial" w:eastAsia="Calibri" w:hAnsi="Arial" w:cs="Arial"/>
                <w:sz w:val="18"/>
                <w:lang w:val="es-ES_tradnl"/>
              </w:rPr>
              <w:t xml:space="preserve"> Los datos aparecen agrupados por intervalo temporal: </w:t>
            </w:r>
            <w:r w:rsidR="00CB0D75">
              <w:rPr>
                <w:rFonts w:ascii="Arial" w:eastAsia="Calibri" w:hAnsi="Arial" w:cs="Arial"/>
                <w:sz w:val="18"/>
                <w:lang w:val="es-ES_tradnl"/>
              </w:rPr>
              <w:t>últimos 5 años (2014-2018; abajo a la izquierda), los 5 años anteriores (2009-2013; arriba a la derecha) y los registros anteriores a 2009 (arriba a la izquierda).</w:t>
            </w:r>
            <w:r w:rsidR="00274BDA">
              <w:rPr>
                <w:rFonts w:ascii="Arial" w:eastAsia="Calibri" w:hAnsi="Arial" w:cs="Arial"/>
                <w:sz w:val="18"/>
                <w:lang w:val="es-ES_tradnl"/>
              </w:rPr>
              <w:t xml:space="preserve"> Las comparaciones temporales se obtienen mediante balances del número de cuadrículas en los que hay datos comparables en distintos intervalos para minimizar el sesgo de mayor esfuerzo de muestreo en los últimos años, que hace parecer que aumenta el área de distribución.</w:t>
            </w:r>
          </w:p>
        </w:tc>
      </w:tr>
      <w:tr w:rsidR="00BA37B2" w:rsidTr="00A85217">
        <w:trPr>
          <w:trHeight w:val="1984"/>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 xml:space="preserve">Tamaño de </w:t>
            </w:r>
            <w:r w:rsidRPr="0027116A">
              <w:rPr>
                <w:rFonts w:ascii="Arial" w:hAnsi="Arial" w:cs="Arial"/>
                <w:b/>
                <w:sz w:val="20"/>
              </w:rPr>
              <w:t>población</w:t>
            </w:r>
            <w:r w:rsidRPr="00146247">
              <w:rPr>
                <w:rFonts w:ascii="Arial" w:hAnsi="Arial" w:cs="Arial"/>
                <w:b/>
                <w:sz w:val="20"/>
              </w:rPr>
              <w:t>. Evolución</w:t>
            </w:r>
          </w:p>
        </w:tc>
        <w:tc>
          <w:tcPr>
            <w:tcW w:w="6945" w:type="dxa"/>
            <w:gridSpan w:val="4"/>
          </w:tcPr>
          <w:p w:rsidR="00CB0D75" w:rsidRPr="00CB0D75" w:rsidRDefault="00CB0D75" w:rsidP="00497219">
            <w:pPr>
              <w:spacing w:before="240" w:line="276" w:lineRule="auto"/>
              <w:jc w:val="both"/>
              <w:rPr>
                <w:rFonts w:ascii="Arial" w:hAnsi="Arial" w:cs="Arial"/>
                <w:b/>
                <w:lang w:eastAsia="es-ES"/>
              </w:rPr>
            </w:pPr>
            <w:r w:rsidRPr="00CB0D75">
              <w:rPr>
                <w:rFonts w:ascii="Arial" w:hAnsi="Arial" w:cs="Arial"/>
                <w:b/>
                <w:lang w:eastAsia="es-ES"/>
              </w:rPr>
              <w:t>Número de cuadrículas</w:t>
            </w:r>
            <w:r>
              <w:rPr>
                <w:rFonts w:ascii="Arial" w:hAnsi="Arial" w:cs="Arial"/>
                <w:b/>
                <w:lang w:eastAsia="es-ES"/>
              </w:rPr>
              <w:t xml:space="preserve"> UTM 1x1</w:t>
            </w:r>
            <w:r w:rsidRPr="00CB0D75">
              <w:rPr>
                <w:rFonts w:ascii="Arial" w:hAnsi="Arial" w:cs="Arial"/>
                <w:b/>
                <w:lang w:eastAsia="es-ES"/>
              </w:rPr>
              <w:t xml:space="preserve"> km</w:t>
            </w:r>
            <w:r w:rsidR="002332D2">
              <w:rPr>
                <w:rFonts w:ascii="Arial" w:hAnsi="Arial" w:cs="Arial"/>
                <w:b/>
                <w:lang w:eastAsia="es-ES"/>
              </w:rPr>
              <w:t xml:space="preserve"> en los últimos 10 años</w:t>
            </w:r>
            <w:r w:rsidRPr="00CB0D75">
              <w:rPr>
                <w:rFonts w:ascii="Arial" w:hAnsi="Arial" w:cs="Arial"/>
                <w:b/>
                <w:lang w:eastAsia="es-ES"/>
              </w:rPr>
              <w:t>:</w:t>
            </w:r>
          </w:p>
          <w:p w:rsidR="00CB0D75" w:rsidRPr="00CB0D75" w:rsidRDefault="00CB0D75" w:rsidP="00497219">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CAPV: </w:t>
            </w:r>
            <w:r w:rsidR="00AB3C87">
              <w:rPr>
                <w:rFonts w:ascii="Arial" w:hAnsi="Arial" w:cs="Arial"/>
                <w:b/>
                <w:lang w:eastAsia="es-ES"/>
              </w:rPr>
              <w:t>4</w:t>
            </w:r>
            <w:r w:rsidRPr="00CB0D75">
              <w:rPr>
                <w:rFonts w:ascii="Arial" w:hAnsi="Arial" w:cs="Arial"/>
                <w:b/>
                <w:lang w:eastAsia="es-ES"/>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Atlántica: </w:t>
            </w:r>
            <w:r w:rsidR="00030DCB">
              <w:rPr>
                <w:rFonts w:ascii="Arial" w:hAnsi="Arial" w:cs="Arial"/>
                <w:b/>
                <w:lang w:eastAsia="es-ES"/>
              </w:rPr>
              <w:t>4</w:t>
            </w:r>
            <w:r w:rsidRPr="00CB0D75">
              <w:rPr>
                <w:rFonts w:ascii="Arial" w:hAnsi="Arial" w:cs="Arial"/>
                <w:b/>
                <w:lang w:eastAsia="es-ES"/>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Mediterránea: </w:t>
            </w:r>
            <w:r w:rsidR="00030DCB">
              <w:rPr>
                <w:rFonts w:ascii="Arial" w:hAnsi="Arial" w:cs="Arial"/>
                <w:b/>
                <w:lang w:eastAsia="es-ES"/>
              </w:rPr>
              <w:t>no citada</w:t>
            </w:r>
            <w:r w:rsidRPr="00CB0D75">
              <w:rPr>
                <w:rFonts w:ascii="Arial" w:hAnsi="Arial" w:cs="Arial"/>
                <w:b/>
                <w:lang w:eastAsia="es-ES"/>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Dentro de espacios </w:t>
            </w:r>
            <w:r w:rsidRPr="00CB0D75">
              <w:rPr>
                <w:rFonts w:ascii="Arial" w:hAnsi="Arial" w:cs="Arial"/>
                <w:b/>
              </w:rPr>
              <w:t>Red Natura 2000:</w:t>
            </w:r>
            <w:r w:rsidR="002332D2">
              <w:rPr>
                <w:rFonts w:ascii="Arial" w:hAnsi="Arial" w:cs="Arial"/>
                <w:b/>
                <w:lang w:eastAsia="es-ES"/>
              </w:rPr>
              <w:t xml:space="preserve"> </w:t>
            </w:r>
            <w:r w:rsidR="00030DCB">
              <w:rPr>
                <w:rFonts w:ascii="Arial" w:hAnsi="Arial" w:cs="Arial"/>
                <w:b/>
                <w:lang w:eastAsia="es-ES"/>
              </w:rPr>
              <w:t xml:space="preserve">1 </w:t>
            </w:r>
            <w:r w:rsidR="00030DCB" w:rsidRPr="00030DCB">
              <w:rPr>
                <w:rFonts w:ascii="Arial" w:hAnsi="Arial" w:cs="Arial"/>
                <w:lang w:eastAsia="es-ES"/>
              </w:rPr>
              <w:t>(deducida por localización)</w:t>
            </w:r>
            <w:r w:rsidRPr="00CB0D75">
              <w:rPr>
                <w:rFonts w:ascii="Arial" w:hAnsi="Arial" w:cs="Arial"/>
                <w:b/>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rPr>
              <w:t xml:space="preserve">Fuera de </w:t>
            </w:r>
            <w:r w:rsidRPr="00CB0D75">
              <w:rPr>
                <w:rFonts w:ascii="Arial" w:hAnsi="Arial" w:cs="Arial"/>
                <w:b/>
                <w:lang w:eastAsia="es-ES"/>
              </w:rPr>
              <w:t xml:space="preserve">espacios </w:t>
            </w:r>
            <w:r w:rsidRPr="00CB0D75">
              <w:rPr>
                <w:rFonts w:ascii="Arial" w:hAnsi="Arial" w:cs="Arial"/>
                <w:b/>
              </w:rPr>
              <w:t xml:space="preserve">Red Natura 2000: </w:t>
            </w:r>
            <w:r w:rsidR="00030DCB">
              <w:rPr>
                <w:rFonts w:ascii="Arial" w:hAnsi="Arial" w:cs="Arial"/>
                <w:b/>
                <w:lang w:eastAsia="es-ES"/>
              </w:rPr>
              <w:t>4</w:t>
            </w:r>
            <w:r w:rsidRPr="00CB0D75">
              <w:rPr>
                <w:rFonts w:ascii="Arial" w:hAnsi="Arial" w:cs="Arial"/>
                <w:b/>
              </w:rPr>
              <w:t>.</w:t>
            </w:r>
          </w:p>
          <w:p w:rsidR="0090588A" w:rsidRDefault="00471DC2" w:rsidP="00471DC2">
            <w:pPr>
              <w:tabs>
                <w:tab w:val="left" w:pos="1020"/>
              </w:tabs>
              <w:spacing w:before="240" w:line="276" w:lineRule="auto"/>
              <w:jc w:val="both"/>
              <w:rPr>
                <w:rFonts w:ascii="Arial" w:hAnsi="Arial" w:cs="Arial"/>
              </w:rPr>
            </w:pPr>
            <w:r>
              <w:rPr>
                <w:rFonts w:ascii="Arial" w:hAnsi="Arial" w:cs="Arial"/>
              </w:rPr>
              <w:t>No se conoce bien la población de la especie en la CAPV, dada la escasez de datos disponibles.</w:t>
            </w:r>
          </w:p>
          <w:p w:rsidR="00471DC2" w:rsidRDefault="00471DC2" w:rsidP="0027116A">
            <w:pPr>
              <w:tabs>
                <w:tab w:val="left" w:pos="1020"/>
              </w:tabs>
              <w:spacing w:before="240" w:line="276" w:lineRule="auto"/>
              <w:jc w:val="both"/>
              <w:rPr>
                <w:rFonts w:ascii="Arial" w:hAnsi="Arial" w:cs="Arial"/>
              </w:rPr>
            </w:pPr>
            <w:r>
              <w:rPr>
                <w:rFonts w:ascii="Arial" w:hAnsi="Arial" w:cs="Arial"/>
              </w:rPr>
              <w:t xml:space="preserve">A modo orientativo, las tendencias poblacionales que se han podido calcular indican una situación </w:t>
            </w:r>
            <w:r w:rsidR="0027116A">
              <w:rPr>
                <w:rFonts w:ascii="Arial" w:hAnsi="Arial" w:cs="Arial"/>
              </w:rPr>
              <w:t>general desfavorable, con valores de tendencia negativos en todos los ámbitos geográficos (-50% en CAPV y región Atlántica, y -100% dentro de espacios RN2000), salvo los espacios fuera de RN2000 que muestran estabilidad.</w:t>
            </w:r>
          </w:p>
          <w:p w:rsidR="0027116A" w:rsidRPr="007D4376" w:rsidRDefault="0027116A" w:rsidP="0027116A">
            <w:pPr>
              <w:tabs>
                <w:tab w:val="left" w:pos="1020"/>
              </w:tabs>
              <w:spacing w:before="240" w:line="276" w:lineRule="auto"/>
              <w:jc w:val="both"/>
              <w:rPr>
                <w:rFonts w:ascii="Arial" w:hAnsi="Arial" w:cs="Arial"/>
              </w:rPr>
            </w:pPr>
            <w:r>
              <w:rPr>
                <w:rFonts w:ascii="Arial" w:hAnsi="Arial" w:cs="Arial"/>
              </w:rPr>
              <w:t>Se considera por tanto que su situación en cuanto a abundancia poblacional es desfavorable, si bien se ha de tener en cuenta que los registros larvarios nos dan idea de asentamiento de la población en la zona al confirmar su reproducción.</w:t>
            </w:r>
          </w:p>
        </w:tc>
      </w:tr>
      <w:tr w:rsidR="00BA37B2" w:rsidTr="00AB3C87">
        <w:trPr>
          <w:trHeight w:val="1134"/>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Descripción del hábitat</w:t>
            </w:r>
          </w:p>
        </w:tc>
        <w:tc>
          <w:tcPr>
            <w:tcW w:w="6945" w:type="dxa"/>
            <w:gridSpan w:val="4"/>
            <w:vAlign w:val="center"/>
          </w:tcPr>
          <w:p w:rsidR="00A31056" w:rsidRPr="00F02E87" w:rsidRDefault="00DC1D7A" w:rsidP="00DC1D7A">
            <w:pPr>
              <w:spacing w:before="240" w:line="276" w:lineRule="auto"/>
              <w:jc w:val="both"/>
              <w:rPr>
                <w:rFonts w:ascii="Arial" w:hAnsi="Arial" w:cs="Arial"/>
                <w:lang w:eastAsia="es-ES"/>
              </w:rPr>
            </w:pPr>
            <w:r>
              <w:rPr>
                <w:rFonts w:ascii="Arial" w:hAnsi="Arial" w:cs="Arial"/>
                <w:lang w:eastAsia="es-ES"/>
              </w:rPr>
              <w:t>La especie se encuentra asociada a sistemas de aguas estancadas o de escasa corriente, soleadas y con abundante vegetación en los márgenes. Tolera cierta eutrofización, pero es sensible a la falta de oxígeno de las aguas (</w:t>
            </w:r>
            <w:r w:rsidRPr="00621BEE">
              <w:rPr>
                <w:rFonts w:ascii="Arial" w:hAnsi="Arial" w:cs="Arial"/>
              </w:rPr>
              <w:t>Boudot</w:t>
            </w:r>
            <w:r>
              <w:rPr>
                <w:rFonts w:ascii="Arial" w:hAnsi="Arial" w:cs="Arial"/>
              </w:rPr>
              <w:t xml:space="preserve"> </w:t>
            </w:r>
            <w:r w:rsidRPr="00621BEE">
              <w:rPr>
                <w:rFonts w:ascii="Arial" w:hAnsi="Arial" w:cs="Arial"/>
              </w:rPr>
              <w:t>&amp; Kalkman, 2015</w:t>
            </w:r>
            <w:r>
              <w:rPr>
                <w:rFonts w:ascii="Arial" w:hAnsi="Arial" w:cs="Arial"/>
              </w:rPr>
              <w:t xml:space="preserve">; </w:t>
            </w:r>
            <w:r>
              <w:rPr>
                <w:rFonts w:ascii="Arial" w:hAnsi="Arial" w:cs="Arial"/>
                <w:lang w:eastAsia="es-ES"/>
              </w:rPr>
              <w:t>Mezquita, 2012).</w:t>
            </w:r>
          </w:p>
        </w:tc>
      </w:tr>
      <w:tr w:rsidR="00BA37B2" w:rsidTr="00F37348">
        <w:trPr>
          <w:trHeight w:val="2409"/>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Biología y ecología de la especie</w:t>
            </w:r>
          </w:p>
        </w:tc>
        <w:tc>
          <w:tcPr>
            <w:tcW w:w="6945" w:type="dxa"/>
            <w:gridSpan w:val="4"/>
            <w:tcBorders>
              <w:bottom w:val="single" w:sz="4" w:space="0" w:color="auto"/>
            </w:tcBorders>
          </w:tcPr>
          <w:p w:rsidR="00A31056" w:rsidRDefault="000123A9" w:rsidP="00497219">
            <w:pPr>
              <w:spacing w:before="240" w:line="276" w:lineRule="auto"/>
              <w:jc w:val="both"/>
              <w:rPr>
                <w:rFonts w:ascii="Arial" w:hAnsi="Arial" w:cs="Arial"/>
              </w:rPr>
            </w:pPr>
            <w:r>
              <w:rPr>
                <w:rFonts w:ascii="Arial" w:hAnsi="Arial" w:cs="Arial"/>
              </w:rPr>
              <w:t xml:space="preserve">El periodo de vuelo </w:t>
            </w:r>
            <w:r w:rsidR="00A31056">
              <w:rPr>
                <w:rFonts w:ascii="Arial" w:hAnsi="Arial" w:cs="Arial"/>
              </w:rPr>
              <w:t xml:space="preserve">de los adultos </w:t>
            </w:r>
            <w:r w:rsidR="00C768ED">
              <w:rPr>
                <w:rFonts w:ascii="Arial" w:hAnsi="Arial" w:cs="Arial"/>
              </w:rPr>
              <w:t>se extiende desde finales de abril a agosto (Mezquita, 2012).</w:t>
            </w:r>
          </w:p>
          <w:p w:rsidR="00CA3C63" w:rsidRPr="00514152" w:rsidRDefault="00C768ED" w:rsidP="007806CE">
            <w:pPr>
              <w:spacing w:before="240" w:line="276" w:lineRule="auto"/>
              <w:jc w:val="both"/>
              <w:rPr>
                <w:rFonts w:ascii="Arial" w:hAnsi="Arial" w:cs="Arial"/>
              </w:rPr>
            </w:pPr>
            <w:r>
              <w:rPr>
                <w:rFonts w:ascii="Arial" w:hAnsi="Arial" w:cs="Arial"/>
              </w:rPr>
              <w:t>Los machos inmaduros se desplazan largas distancias para cubrir la etapa de maduración, aunque no llega a considerarse una migración. Son territoriales y realizan una cópula de larga duración posados sobre un soporte (Mezquita, 2012).</w:t>
            </w:r>
          </w:p>
        </w:tc>
      </w:tr>
      <w:tr w:rsidR="002419C0" w:rsidRPr="00494083" w:rsidTr="005D3AFA">
        <w:trPr>
          <w:trHeight w:val="571"/>
        </w:trPr>
        <w:tc>
          <w:tcPr>
            <w:tcW w:w="1951" w:type="dxa"/>
            <w:vMerge w:val="restart"/>
            <w:shd w:val="clear" w:color="auto" w:fill="BFBFBF" w:themeFill="background1" w:themeFillShade="BF"/>
          </w:tcPr>
          <w:p w:rsidR="002419C0" w:rsidRPr="00146247" w:rsidRDefault="007806CE" w:rsidP="00146247">
            <w:pPr>
              <w:spacing w:before="240" w:line="360" w:lineRule="auto"/>
              <w:rPr>
                <w:rFonts w:ascii="Arial" w:hAnsi="Arial" w:cs="Arial"/>
                <w:b/>
                <w:sz w:val="20"/>
              </w:rPr>
            </w:pPr>
            <w:r w:rsidRPr="00146247">
              <w:rPr>
                <w:rFonts w:ascii="Arial" w:hAnsi="Arial" w:cs="Arial"/>
                <w:b/>
                <w:sz w:val="20"/>
              </w:rPr>
              <w:t>Factores de amenaza</w:t>
            </w:r>
          </w:p>
        </w:tc>
        <w:tc>
          <w:tcPr>
            <w:tcW w:w="1134" w:type="dxa"/>
            <w:tcBorders>
              <w:bottom w:val="single" w:sz="12" w:space="0" w:color="auto"/>
              <w:right w:val="dotted" w:sz="4" w:space="0" w:color="auto"/>
            </w:tcBorders>
            <w:shd w:val="clear" w:color="auto" w:fill="auto"/>
            <w:vAlign w:val="center"/>
          </w:tcPr>
          <w:p w:rsidR="002419C0" w:rsidRPr="00A72397" w:rsidRDefault="002419C0" w:rsidP="005511F8">
            <w:pPr>
              <w:spacing w:line="276" w:lineRule="auto"/>
              <w:jc w:val="center"/>
              <w:rPr>
                <w:rFonts w:ascii="Arial" w:eastAsia="Times New Roman" w:hAnsi="Arial" w:cs="Arial"/>
                <w:b/>
                <w:color w:val="000000" w:themeColor="text1"/>
                <w:sz w:val="20"/>
                <w:lang w:eastAsia="es-ES"/>
              </w:rPr>
            </w:pPr>
            <w:r w:rsidRPr="00A72397">
              <w:rPr>
                <w:rFonts w:ascii="Arial" w:eastAsia="Times New Roman" w:hAnsi="Arial" w:cs="Arial"/>
                <w:b/>
                <w:color w:val="000000" w:themeColor="text1"/>
                <w:sz w:val="20"/>
                <w:lang w:eastAsia="es-ES"/>
              </w:rPr>
              <w:t>CÓDIGO</w:t>
            </w:r>
          </w:p>
        </w:tc>
        <w:tc>
          <w:tcPr>
            <w:tcW w:w="4535" w:type="dxa"/>
            <w:gridSpan w:val="2"/>
            <w:tcBorders>
              <w:left w:val="dotted" w:sz="4" w:space="0" w:color="auto"/>
              <w:bottom w:val="single" w:sz="12" w:space="0" w:color="auto"/>
              <w:right w:val="dotted" w:sz="4" w:space="0" w:color="auto"/>
            </w:tcBorders>
            <w:shd w:val="clear" w:color="auto" w:fill="auto"/>
            <w:vAlign w:val="center"/>
          </w:tcPr>
          <w:p w:rsidR="002419C0" w:rsidRPr="00A72397" w:rsidRDefault="002419C0" w:rsidP="005511F8">
            <w:pPr>
              <w:spacing w:line="276" w:lineRule="auto"/>
              <w:jc w:val="center"/>
              <w:rPr>
                <w:rFonts w:ascii="Arial" w:eastAsia="Times New Roman" w:hAnsi="Arial" w:cs="Arial"/>
                <w:b/>
                <w:color w:val="000000" w:themeColor="text1"/>
                <w:sz w:val="20"/>
                <w:lang w:eastAsia="es-ES"/>
              </w:rPr>
            </w:pPr>
            <w:r w:rsidRPr="00A72397">
              <w:rPr>
                <w:rFonts w:ascii="Arial" w:eastAsia="Times New Roman" w:hAnsi="Arial" w:cs="Arial"/>
                <w:b/>
                <w:color w:val="000000" w:themeColor="text1"/>
                <w:sz w:val="20"/>
                <w:lang w:eastAsia="es-ES"/>
              </w:rPr>
              <w:t>AMENAZA</w:t>
            </w:r>
          </w:p>
        </w:tc>
        <w:tc>
          <w:tcPr>
            <w:tcW w:w="1276" w:type="dxa"/>
            <w:tcBorders>
              <w:left w:val="dotted" w:sz="4" w:space="0" w:color="auto"/>
              <w:bottom w:val="single" w:sz="12" w:space="0" w:color="auto"/>
            </w:tcBorders>
            <w:shd w:val="clear" w:color="auto" w:fill="auto"/>
            <w:vAlign w:val="center"/>
          </w:tcPr>
          <w:p w:rsidR="002419C0" w:rsidRPr="00A72397" w:rsidRDefault="002419C0" w:rsidP="005511F8">
            <w:pPr>
              <w:spacing w:line="276" w:lineRule="auto"/>
              <w:jc w:val="center"/>
              <w:rPr>
                <w:rFonts w:ascii="Arial" w:eastAsia="Times New Roman" w:hAnsi="Arial" w:cs="Arial"/>
                <w:b/>
                <w:color w:val="000000" w:themeColor="text1"/>
                <w:sz w:val="20"/>
                <w:lang w:eastAsia="es-ES"/>
              </w:rPr>
            </w:pPr>
            <w:r w:rsidRPr="00A72397">
              <w:rPr>
                <w:rFonts w:ascii="Arial" w:eastAsia="Times New Roman" w:hAnsi="Arial" w:cs="Arial"/>
                <w:b/>
                <w:color w:val="000000" w:themeColor="text1"/>
                <w:sz w:val="20"/>
                <w:lang w:eastAsia="es-ES"/>
              </w:rPr>
              <w:t>VIGENCIA</w:t>
            </w:r>
          </w:p>
        </w:tc>
      </w:tr>
      <w:tr w:rsidR="00A72397" w:rsidRPr="00494083"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A72397" w:rsidRDefault="00A72397" w:rsidP="005441F5">
            <w:pPr>
              <w:jc w:val="center"/>
              <w:rPr>
                <w:rFonts w:ascii="Arial" w:eastAsia="Times New Roman" w:hAnsi="Arial" w:cs="Arial"/>
                <w:color w:val="000000" w:themeColor="text1"/>
                <w:sz w:val="20"/>
                <w:lang w:eastAsia="es-ES"/>
              </w:rPr>
            </w:pPr>
            <w:r w:rsidRPr="00A72397">
              <w:rPr>
                <w:rFonts w:ascii="Arial" w:eastAsia="Times New Roman" w:hAnsi="Arial" w:cs="Arial"/>
                <w:color w:val="000000" w:themeColor="text1"/>
                <w:sz w:val="20"/>
                <w:lang w:eastAsia="es-ES"/>
              </w:rPr>
              <w:t>A04</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sidRPr="005441F5">
              <w:rPr>
                <w:rFonts w:ascii="Arial" w:eastAsia="Times New Roman" w:hAnsi="Arial" w:cs="Arial"/>
                <w:color w:val="000000" w:themeColor="text1"/>
                <w:sz w:val="20"/>
                <w:lang w:eastAsia="es-ES"/>
              </w:rPr>
              <w:t>Pastoreo</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A72397" w:rsidRDefault="00A72397" w:rsidP="005441F5">
            <w:pPr>
              <w:jc w:val="center"/>
              <w:rPr>
                <w:rFonts w:ascii="Arial" w:eastAsia="Times New Roman" w:hAnsi="Arial" w:cs="Arial"/>
                <w:color w:val="000000" w:themeColor="text1"/>
                <w:sz w:val="20"/>
                <w:lang w:eastAsia="es-ES"/>
              </w:rPr>
            </w:pPr>
            <w:r w:rsidRPr="00A72397">
              <w:rPr>
                <w:rFonts w:ascii="Arial" w:eastAsia="Times New Roman" w:hAnsi="Arial" w:cs="Arial"/>
                <w:color w:val="000000" w:themeColor="text1"/>
                <w:sz w:val="20"/>
                <w:lang w:eastAsia="es-ES"/>
              </w:rPr>
              <w:t>A07</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sidRPr="005441F5">
              <w:rPr>
                <w:rFonts w:ascii="Arial" w:eastAsia="Times New Roman" w:hAnsi="Arial" w:cs="Arial"/>
                <w:color w:val="000000" w:themeColor="text1"/>
                <w:sz w:val="20"/>
                <w:lang w:eastAsia="es-ES"/>
              </w:rPr>
              <w:t>Uso de biocidas, hormonas y productos químicos.</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F37348" w:rsidRPr="005441F5" w:rsidTr="00F37348">
        <w:trPr>
          <w:trHeight w:val="340"/>
        </w:trPr>
        <w:tc>
          <w:tcPr>
            <w:tcW w:w="1951" w:type="dxa"/>
            <w:vMerge/>
            <w:shd w:val="clear" w:color="auto" w:fill="BFBFBF" w:themeFill="background1" w:themeFillShade="BF"/>
          </w:tcPr>
          <w:p w:rsidR="00F37348" w:rsidRPr="00146247" w:rsidRDefault="00F37348"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F37348" w:rsidRPr="00A72397" w:rsidRDefault="00F37348"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A08</w:t>
            </w:r>
          </w:p>
        </w:tc>
        <w:tc>
          <w:tcPr>
            <w:tcW w:w="4535" w:type="dxa"/>
            <w:gridSpan w:val="2"/>
            <w:tcBorders>
              <w:top w:val="nil"/>
              <w:left w:val="dotted" w:sz="4" w:space="0" w:color="auto"/>
              <w:bottom w:val="nil"/>
              <w:right w:val="dotted" w:sz="4" w:space="0" w:color="auto"/>
            </w:tcBorders>
          </w:tcPr>
          <w:p w:rsidR="00F37348" w:rsidRPr="005441F5" w:rsidRDefault="00F37348"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Uso de fertilizantes</w:t>
            </w:r>
          </w:p>
        </w:tc>
        <w:tc>
          <w:tcPr>
            <w:tcW w:w="1276" w:type="dxa"/>
            <w:tcBorders>
              <w:top w:val="nil"/>
              <w:left w:val="dotted" w:sz="4" w:space="0" w:color="auto"/>
              <w:bottom w:val="nil"/>
            </w:tcBorders>
          </w:tcPr>
          <w:p w:rsidR="00F37348"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F37348" w:rsidRPr="005441F5" w:rsidTr="00F37348">
        <w:trPr>
          <w:trHeight w:val="340"/>
        </w:trPr>
        <w:tc>
          <w:tcPr>
            <w:tcW w:w="1951" w:type="dxa"/>
            <w:vMerge/>
            <w:shd w:val="clear" w:color="auto" w:fill="BFBFBF" w:themeFill="background1" w:themeFillShade="BF"/>
          </w:tcPr>
          <w:p w:rsidR="00F37348" w:rsidRPr="00146247" w:rsidRDefault="00F37348"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F37348" w:rsidRDefault="00F37348"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A09</w:t>
            </w:r>
          </w:p>
        </w:tc>
        <w:tc>
          <w:tcPr>
            <w:tcW w:w="4535" w:type="dxa"/>
            <w:gridSpan w:val="2"/>
            <w:tcBorders>
              <w:top w:val="nil"/>
              <w:left w:val="dotted" w:sz="4" w:space="0" w:color="auto"/>
              <w:bottom w:val="nil"/>
              <w:right w:val="dotted" w:sz="4" w:space="0" w:color="auto"/>
            </w:tcBorders>
          </w:tcPr>
          <w:p w:rsidR="00F37348" w:rsidRDefault="00F37348"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Regadío</w:t>
            </w:r>
          </w:p>
        </w:tc>
        <w:tc>
          <w:tcPr>
            <w:tcW w:w="1276" w:type="dxa"/>
            <w:tcBorders>
              <w:top w:val="nil"/>
              <w:left w:val="dotted" w:sz="4" w:space="0" w:color="auto"/>
              <w:bottom w:val="nil"/>
            </w:tcBorders>
          </w:tcPr>
          <w:p w:rsidR="00F37348"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067143" w:rsidRPr="005441F5" w:rsidTr="002E0C03">
        <w:trPr>
          <w:trHeight w:val="340"/>
        </w:trPr>
        <w:tc>
          <w:tcPr>
            <w:tcW w:w="1951" w:type="dxa"/>
            <w:vMerge/>
            <w:shd w:val="clear" w:color="auto" w:fill="BFBFBF" w:themeFill="background1" w:themeFillShade="BF"/>
          </w:tcPr>
          <w:p w:rsidR="00067143" w:rsidRPr="00146247" w:rsidRDefault="0006714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067143" w:rsidRPr="00A72397" w:rsidRDefault="00067143"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D01</w:t>
            </w:r>
          </w:p>
        </w:tc>
        <w:tc>
          <w:tcPr>
            <w:tcW w:w="4535" w:type="dxa"/>
            <w:gridSpan w:val="2"/>
            <w:tcBorders>
              <w:top w:val="nil"/>
              <w:left w:val="dotted" w:sz="4" w:space="0" w:color="auto"/>
              <w:bottom w:val="nil"/>
              <w:right w:val="dotted" w:sz="4" w:space="0" w:color="auto"/>
            </w:tcBorders>
          </w:tcPr>
          <w:p w:rsidR="00067143" w:rsidRPr="005441F5" w:rsidRDefault="00067143"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Carreteras, caminos y vías de tren.</w:t>
            </w:r>
          </w:p>
        </w:tc>
        <w:tc>
          <w:tcPr>
            <w:tcW w:w="1276" w:type="dxa"/>
            <w:tcBorders>
              <w:top w:val="nil"/>
              <w:left w:val="dotted" w:sz="4" w:space="0" w:color="auto"/>
              <w:bottom w:val="nil"/>
            </w:tcBorders>
          </w:tcPr>
          <w:p w:rsidR="00067143"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067143" w:rsidRPr="005441F5" w:rsidTr="002E0C03">
        <w:trPr>
          <w:trHeight w:val="340"/>
        </w:trPr>
        <w:tc>
          <w:tcPr>
            <w:tcW w:w="1951" w:type="dxa"/>
            <w:vMerge/>
            <w:shd w:val="clear" w:color="auto" w:fill="BFBFBF" w:themeFill="background1" w:themeFillShade="BF"/>
          </w:tcPr>
          <w:p w:rsidR="00067143" w:rsidRPr="00146247" w:rsidRDefault="0006714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067143" w:rsidRDefault="00067143" w:rsidP="00067143">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D06</w:t>
            </w:r>
          </w:p>
        </w:tc>
        <w:tc>
          <w:tcPr>
            <w:tcW w:w="4535" w:type="dxa"/>
            <w:gridSpan w:val="2"/>
            <w:tcBorders>
              <w:top w:val="nil"/>
              <w:left w:val="dotted" w:sz="4" w:space="0" w:color="auto"/>
              <w:bottom w:val="nil"/>
              <w:right w:val="dotted" w:sz="4" w:space="0" w:color="auto"/>
            </w:tcBorders>
          </w:tcPr>
          <w:p w:rsidR="00067143" w:rsidRDefault="00067143" w:rsidP="00067143">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Otras formas de transporte y comunicaciones</w:t>
            </w:r>
          </w:p>
        </w:tc>
        <w:tc>
          <w:tcPr>
            <w:tcW w:w="1276" w:type="dxa"/>
            <w:tcBorders>
              <w:top w:val="nil"/>
              <w:left w:val="dotted" w:sz="4" w:space="0" w:color="auto"/>
              <w:bottom w:val="nil"/>
            </w:tcBorders>
          </w:tcPr>
          <w:p w:rsidR="00067143"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067143">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E02</w:t>
            </w:r>
          </w:p>
        </w:tc>
        <w:tc>
          <w:tcPr>
            <w:tcW w:w="4535" w:type="dxa"/>
            <w:gridSpan w:val="2"/>
            <w:tcBorders>
              <w:top w:val="nil"/>
              <w:left w:val="dotted" w:sz="4" w:space="0" w:color="auto"/>
              <w:bottom w:val="nil"/>
              <w:right w:val="dotted" w:sz="4" w:space="0" w:color="auto"/>
            </w:tcBorders>
          </w:tcPr>
          <w:p w:rsidR="00A72397" w:rsidRDefault="00A72397"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Urbanización, desarrollo residencial y comercial. Áreas industriales o comerciales.</w:t>
            </w:r>
          </w:p>
        </w:tc>
        <w:tc>
          <w:tcPr>
            <w:tcW w:w="1276" w:type="dxa"/>
            <w:tcBorders>
              <w:top w:val="nil"/>
              <w:left w:val="dotted" w:sz="4" w:space="0" w:color="auto"/>
              <w:bottom w:val="nil"/>
            </w:tcBorders>
          </w:tcPr>
          <w:p w:rsidR="00A72397"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067143" w:rsidRPr="005441F5" w:rsidTr="00067143">
        <w:trPr>
          <w:trHeight w:val="567"/>
        </w:trPr>
        <w:tc>
          <w:tcPr>
            <w:tcW w:w="1951" w:type="dxa"/>
            <w:vMerge/>
            <w:shd w:val="clear" w:color="auto" w:fill="BFBFBF" w:themeFill="background1" w:themeFillShade="BF"/>
          </w:tcPr>
          <w:p w:rsidR="00067143" w:rsidRPr="00146247" w:rsidRDefault="0006714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067143" w:rsidRDefault="00067143"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G01</w:t>
            </w:r>
          </w:p>
        </w:tc>
        <w:tc>
          <w:tcPr>
            <w:tcW w:w="4535" w:type="dxa"/>
            <w:gridSpan w:val="2"/>
            <w:tcBorders>
              <w:top w:val="nil"/>
              <w:left w:val="dotted" w:sz="4" w:space="0" w:color="auto"/>
              <w:bottom w:val="nil"/>
              <w:right w:val="dotted" w:sz="4" w:space="0" w:color="auto"/>
            </w:tcBorders>
          </w:tcPr>
          <w:p w:rsidR="00067143" w:rsidRDefault="00067143"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Deportes al aire libre y actividades de ocio, actividades recreativas organizadas.</w:t>
            </w:r>
          </w:p>
        </w:tc>
        <w:tc>
          <w:tcPr>
            <w:tcW w:w="1276" w:type="dxa"/>
            <w:tcBorders>
              <w:top w:val="nil"/>
              <w:left w:val="dotted" w:sz="4" w:space="0" w:color="auto"/>
              <w:bottom w:val="nil"/>
            </w:tcBorders>
          </w:tcPr>
          <w:p w:rsidR="00067143"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2B4D1E">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G05</w:t>
            </w:r>
          </w:p>
        </w:tc>
        <w:tc>
          <w:tcPr>
            <w:tcW w:w="4535" w:type="dxa"/>
            <w:gridSpan w:val="2"/>
            <w:tcBorders>
              <w:top w:val="nil"/>
              <w:left w:val="dotted" w:sz="4" w:space="0" w:color="auto"/>
              <w:bottom w:val="nil"/>
              <w:right w:val="dotted" w:sz="4" w:space="0" w:color="auto"/>
            </w:tcBorders>
          </w:tcPr>
          <w:p w:rsidR="00A72397" w:rsidRDefault="00A72397"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Otras molestias e intrusiones humanas.</w:t>
            </w:r>
          </w:p>
        </w:tc>
        <w:tc>
          <w:tcPr>
            <w:tcW w:w="1276" w:type="dxa"/>
            <w:tcBorders>
              <w:top w:val="nil"/>
              <w:left w:val="dotted" w:sz="4" w:space="0" w:color="auto"/>
              <w:bottom w:val="nil"/>
            </w:tcBorders>
          </w:tcPr>
          <w:p w:rsidR="00A72397"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441F5"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H01</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Contaminación de aguas superficiales (de agua dulce, marina o salobre).</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441F5"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J02</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Cambios inducidos en las condiciones hidráulicas</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2E0C03" w:rsidRPr="005441F5" w:rsidTr="005D3AFA">
        <w:trPr>
          <w:trHeight w:val="567"/>
        </w:trPr>
        <w:tc>
          <w:tcPr>
            <w:tcW w:w="1951" w:type="dxa"/>
            <w:vMerge/>
            <w:shd w:val="clear" w:color="auto" w:fill="BFBFBF" w:themeFill="background1" w:themeFillShade="BF"/>
          </w:tcPr>
          <w:p w:rsidR="002E0C03" w:rsidRPr="00146247" w:rsidRDefault="002E0C0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2E0C03" w:rsidRDefault="002E0C03"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J03</w:t>
            </w:r>
          </w:p>
        </w:tc>
        <w:tc>
          <w:tcPr>
            <w:tcW w:w="4535" w:type="dxa"/>
            <w:gridSpan w:val="2"/>
            <w:tcBorders>
              <w:top w:val="nil"/>
              <w:left w:val="dotted" w:sz="4" w:space="0" w:color="auto"/>
              <w:bottom w:val="nil"/>
              <w:right w:val="dotted" w:sz="4" w:space="0" w:color="auto"/>
            </w:tcBorders>
          </w:tcPr>
          <w:p w:rsidR="002E0C03" w:rsidRDefault="002E0C03"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Otras alteraciones de los ecosistemas</w:t>
            </w:r>
          </w:p>
        </w:tc>
        <w:tc>
          <w:tcPr>
            <w:tcW w:w="1276" w:type="dxa"/>
            <w:tcBorders>
              <w:top w:val="nil"/>
              <w:left w:val="dotted" w:sz="4" w:space="0" w:color="auto"/>
              <w:bottom w:val="nil"/>
            </w:tcBorders>
          </w:tcPr>
          <w:p w:rsidR="002E0C03"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M01</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sidRPr="00624D1F">
              <w:rPr>
                <w:rFonts w:ascii="Arial" w:eastAsia="Times New Roman" w:hAnsi="Arial" w:cs="Arial"/>
                <w:color w:val="000000" w:themeColor="text1"/>
                <w:sz w:val="20"/>
                <w:lang w:eastAsia="es-ES"/>
              </w:rPr>
              <w:t xml:space="preserve">Cambio climático. </w:t>
            </w:r>
            <w:r w:rsidRPr="005441F5">
              <w:rPr>
                <w:rFonts w:ascii="Arial" w:eastAsia="Times New Roman" w:hAnsi="Arial" w:cs="Arial"/>
                <w:color w:val="000000" w:themeColor="text1"/>
                <w:sz w:val="20"/>
                <w:lang w:eastAsia="es-ES"/>
              </w:rPr>
              <w:t>Cambios en las condiciones abi</w:t>
            </w:r>
            <w:r>
              <w:rPr>
                <w:rFonts w:ascii="Arial" w:eastAsia="Times New Roman" w:hAnsi="Arial" w:cs="Arial"/>
                <w:color w:val="000000" w:themeColor="text1"/>
                <w:sz w:val="20"/>
                <w:lang w:eastAsia="es-ES"/>
              </w:rPr>
              <w:t>óticas.</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right w:val="dotted" w:sz="4" w:space="0" w:color="auto"/>
            </w:tcBorders>
          </w:tcPr>
          <w:p w:rsidR="00A72397" w:rsidRDefault="00A72397" w:rsidP="008A5C56">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M02</w:t>
            </w:r>
          </w:p>
        </w:tc>
        <w:tc>
          <w:tcPr>
            <w:tcW w:w="4535" w:type="dxa"/>
            <w:gridSpan w:val="2"/>
            <w:tcBorders>
              <w:top w:val="nil"/>
              <w:left w:val="dotted" w:sz="4" w:space="0" w:color="auto"/>
              <w:right w:val="dotted" w:sz="4" w:space="0" w:color="auto"/>
            </w:tcBorders>
          </w:tcPr>
          <w:p w:rsidR="00A72397" w:rsidRPr="005441F5" w:rsidRDefault="00A72397" w:rsidP="008A5C56">
            <w:pPr>
              <w:rPr>
                <w:rFonts w:ascii="Arial" w:eastAsia="Times New Roman" w:hAnsi="Arial" w:cs="Arial"/>
                <w:color w:val="000000" w:themeColor="text1"/>
                <w:sz w:val="20"/>
                <w:lang w:eastAsia="es-ES"/>
              </w:rPr>
            </w:pPr>
            <w:r w:rsidRPr="005441F5">
              <w:rPr>
                <w:rFonts w:ascii="Arial" w:eastAsia="Times New Roman" w:hAnsi="Arial" w:cs="Arial"/>
                <w:color w:val="000000" w:themeColor="text1"/>
                <w:sz w:val="20"/>
                <w:lang w:eastAsia="es-ES"/>
              </w:rPr>
              <w:t xml:space="preserve">Cambio climático. </w:t>
            </w:r>
            <w:r>
              <w:rPr>
                <w:rFonts w:ascii="Arial" w:eastAsia="Times New Roman" w:hAnsi="Arial" w:cs="Arial"/>
                <w:color w:val="000000" w:themeColor="text1"/>
                <w:sz w:val="20"/>
                <w:lang w:eastAsia="es-ES"/>
              </w:rPr>
              <w:t xml:space="preserve">Cambios en las condiciones </w:t>
            </w:r>
            <w:r w:rsidRPr="005441F5">
              <w:rPr>
                <w:rFonts w:ascii="Arial" w:eastAsia="Times New Roman" w:hAnsi="Arial" w:cs="Arial"/>
                <w:color w:val="000000" w:themeColor="text1"/>
                <w:sz w:val="20"/>
                <w:lang w:eastAsia="es-ES"/>
              </w:rPr>
              <w:t>bi</w:t>
            </w:r>
            <w:r>
              <w:rPr>
                <w:rFonts w:ascii="Arial" w:eastAsia="Times New Roman" w:hAnsi="Arial" w:cs="Arial"/>
                <w:color w:val="000000" w:themeColor="text1"/>
                <w:sz w:val="20"/>
                <w:lang w:eastAsia="es-ES"/>
              </w:rPr>
              <w:t>óticas.</w:t>
            </w:r>
          </w:p>
        </w:tc>
        <w:tc>
          <w:tcPr>
            <w:tcW w:w="1276" w:type="dxa"/>
            <w:tcBorders>
              <w:top w:val="nil"/>
              <w:left w:val="dotted" w:sz="4" w:space="0" w:color="auto"/>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Tr="005D3AFA">
        <w:trPr>
          <w:trHeight w:val="1146"/>
        </w:trPr>
        <w:tc>
          <w:tcPr>
            <w:tcW w:w="1951" w:type="dxa"/>
            <w:vMerge w:val="restart"/>
            <w:shd w:val="clear" w:color="auto" w:fill="BFBFBF" w:themeFill="background1" w:themeFillShade="BF"/>
          </w:tcPr>
          <w:p w:rsidR="00A72397" w:rsidRPr="00146247" w:rsidRDefault="00A72397" w:rsidP="00146247">
            <w:pPr>
              <w:spacing w:before="240" w:line="360" w:lineRule="auto"/>
              <w:rPr>
                <w:rFonts w:ascii="Arial" w:hAnsi="Arial" w:cs="Arial"/>
                <w:b/>
                <w:sz w:val="20"/>
              </w:rPr>
            </w:pPr>
            <w:r w:rsidRPr="00146247">
              <w:rPr>
                <w:rFonts w:ascii="Arial" w:hAnsi="Arial" w:cs="Arial"/>
                <w:b/>
                <w:sz w:val="20"/>
              </w:rPr>
              <w:t>Medidas de conservación</w:t>
            </w:r>
          </w:p>
        </w:tc>
        <w:tc>
          <w:tcPr>
            <w:tcW w:w="6945" w:type="dxa"/>
            <w:gridSpan w:val="4"/>
            <w:tcBorders>
              <w:bottom w:val="single" w:sz="4" w:space="0" w:color="auto"/>
            </w:tcBorders>
          </w:tcPr>
          <w:p w:rsidR="00A72397" w:rsidRDefault="00A72397" w:rsidP="005D3AFA">
            <w:pPr>
              <w:spacing w:before="240" w:line="276" w:lineRule="auto"/>
              <w:rPr>
                <w:rFonts w:ascii="Arial" w:hAnsi="Arial" w:cs="Arial"/>
              </w:rPr>
            </w:pPr>
            <w:r>
              <w:rPr>
                <w:rFonts w:ascii="Arial" w:hAnsi="Arial" w:cs="Arial"/>
              </w:rPr>
              <w:t>Se toma como referencia la lista de medidas de conservación de la Directiva Hábitats, actualizada a fecha de 07/05/2018. (</w:t>
            </w:r>
            <w:hyperlink r:id="rId11" w:history="1">
              <w:r w:rsidRPr="0050657D">
                <w:rPr>
                  <w:rStyle w:val="Hipervnculo"/>
                  <w:rFonts w:ascii="Arial" w:hAnsi="Arial" w:cs="Arial"/>
                  <w:sz w:val="20"/>
                </w:rPr>
                <w:t>http://cdr.eionet.europa.eu/help/habitats_art17</w:t>
              </w:r>
            </w:hyperlink>
            <w:r>
              <w:rPr>
                <w:rFonts w:ascii="Arial" w:hAnsi="Arial" w:cs="Arial"/>
              </w:rPr>
              <w:t>):</w:t>
            </w:r>
          </w:p>
        </w:tc>
      </w:tr>
      <w:tr w:rsidR="00A72397"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bottom w:val="single" w:sz="12" w:space="0" w:color="auto"/>
              <w:right w:val="dotted" w:sz="4" w:space="0" w:color="auto"/>
            </w:tcBorders>
            <w:vAlign w:val="center"/>
          </w:tcPr>
          <w:p w:rsidR="00A72397" w:rsidRPr="005D3AFA" w:rsidRDefault="00A72397" w:rsidP="008A5C56">
            <w:pPr>
              <w:spacing w:line="276" w:lineRule="auto"/>
              <w:jc w:val="center"/>
              <w:rPr>
                <w:rFonts w:ascii="Arial" w:eastAsia="Times New Roman" w:hAnsi="Arial" w:cs="Arial"/>
                <w:b/>
                <w:color w:val="000000" w:themeColor="text1"/>
                <w:sz w:val="20"/>
                <w:szCs w:val="20"/>
                <w:lang w:val="en-US" w:eastAsia="es-ES"/>
              </w:rPr>
            </w:pPr>
            <w:r w:rsidRPr="005D3AFA">
              <w:rPr>
                <w:rFonts w:ascii="Arial" w:eastAsia="Times New Roman" w:hAnsi="Arial" w:cs="Arial"/>
                <w:b/>
                <w:color w:val="000000" w:themeColor="text1"/>
                <w:sz w:val="20"/>
                <w:szCs w:val="20"/>
                <w:lang w:val="en-US" w:eastAsia="es-ES"/>
              </w:rPr>
              <w:t>CÓDIGO</w:t>
            </w:r>
          </w:p>
        </w:tc>
        <w:tc>
          <w:tcPr>
            <w:tcW w:w="5811" w:type="dxa"/>
            <w:gridSpan w:val="3"/>
            <w:tcBorders>
              <w:left w:val="dotted" w:sz="4" w:space="0" w:color="auto"/>
              <w:bottom w:val="single" w:sz="12" w:space="0" w:color="auto"/>
            </w:tcBorders>
            <w:vAlign w:val="center"/>
          </w:tcPr>
          <w:p w:rsidR="00A72397" w:rsidRPr="005D3AFA" w:rsidRDefault="00A72397" w:rsidP="008A5C56">
            <w:pPr>
              <w:spacing w:line="276" w:lineRule="auto"/>
              <w:jc w:val="center"/>
              <w:rPr>
                <w:rFonts w:ascii="Arial" w:eastAsia="Times New Roman" w:hAnsi="Arial" w:cs="Arial"/>
                <w:b/>
                <w:color w:val="000000" w:themeColor="text1"/>
                <w:sz w:val="20"/>
                <w:szCs w:val="20"/>
                <w:lang w:val="en-US" w:eastAsia="es-ES"/>
              </w:rPr>
            </w:pPr>
            <w:r w:rsidRPr="005D3AFA">
              <w:rPr>
                <w:rFonts w:ascii="Arial" w:eastAsia="Times New Roman" w:hAnsi="Arial" w:cs="Arial"/>
                <w:b/>
                <w:color w:val="000000" w:themeColor="text1"/>
                <w:sz w:val="20"/>
                <w:szCs w:val="20"/>
                <w:lang w:val="en-US" w:eastAsia="es-ES"/>
              </w:rPr>
              <w:t>MEDIDA</w:t>
            </w:r>
          </w:p>
        </w:tc>
      </w:tr>
      <w:tr w:rsidR="00A72397" w:rsidTr="002E0C03">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single" w:sz="12" w:space="0" w:color="auto"/>
              <w:bottom w:val="nil"/>
              <w:right w:val="dotted" w:sz="4" w:space="0" w:color="auto"/>
            </w:tcBorders>
          </w:tcPr>
          <w:p w:rsidR="00A72397" w:rsidRPr="005D3AFA" w:rsidRDefault="00A72397" w:rsidP="005D3AFA">
            <w:pPr>
              <w:jc w:val="center"/>
              <w:rPr>
                <w:rFonts w:ascii="Arial" w:hAnsi="Arial" w:cs="Arial"/>
                <w:sz w:val="20"/>
                <w:szCs w:val="20"/>
              </w:rPr>
            </w:pPr>
            <w:r w:rsidRPr="005D3AFA">
              <w:rPr>
                <w:rFonts w:ascii="Arial" w:hAnsi="Arial" w:cs="Arial"/>
                <w:sz w:val="20"/>
                <w:szCs w:val="20"/>
              </w:rPr>
              <w:t>CA05</w:t>
            </w:r>
          </w:p>
        </w:tc>
        <w:tc>
          <w:tcPr>
            <w:tcW w:w="5811" w:type="dxa"/>
            <w:gridSpan w:val="3"/>
            <w:tcBorders>
              <w:top w:val="single" w:sz="12" w:space="0" w:color="auto"/>
              <w:left w:val="dotted" w:sz="4" w:space="0" w:color="auto"/>
              <w:bottom w:val="nil"/>
            </w:tcBorders>
          </w:tcPr>
          <w:p w:rsidR="00A72397" w:rsidRPr="005D3AFA" w:rsidRDefault="00A72397" w:rsidP="005D3AFA">
            <w:pPr>
              <w:rPr>
                <w:rFonts w:ascii="Arial" w:hAnsi="Arial" w:cs="Arial"/>
                <w:sz w:val="20"/>
                <w:szCs w:val="20"/>
              </w:rPr>
            </w:pPr>
            <w:r>
              <w:rPr>
                <w:rFonts w:ascii="Arial" w:hAnsi="Arial" w:cs="Arial"/>
                <w:sz w:val="20"/>
                <w:szCs w:val="20"/>
              </w:rPr>
              <w:t>Adaptación de usos pastoriles y ganaderos</w:t>
            </w:r>
            <w:r w:rsidRPr="00B97C8A">
              <w:rPr>
                <w:rFonts w:ascii="Arial" w:hAnsi="Arial" w:cs="Verdana,Bold"/>
                <w:bCs/>
                <w:color w:val="70AD47" w:themeColor="accent6"/>
                <w:sz w:val="20"/>
                <w:szCs w:val="18"/>
              </w:rPr>
              <w:t xml:space="preserve"> </w:t>
            </w:r>
          </w:p>
        </w:tc>
      </w:tr>
      <w:tr w:rsidR="00A72397" w:rsidTr="002E0C03">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Arial"/>
                <w:sz w:val="20"/>
                <w:szCs w:val="20"/>
              </w:rPr>
            </w:pPr>
            <w:r>
              <w:rPr>
                <w:rFonts w:ascii="Arial" w:hAnsi="Arial" w:cs="Arial"/>
                <w:sz w:val="20"/>
                <w:szCs w:val="20"/>
              </w:rPr>
              <w:t>CA09</w:t>
            </w:r>
          </w:p>
        </w:tc>
        <w:tc>
          <w:tcPr>
            <w:tcW w:w="5811" w:type="dxa"/>
            <w:gridSpan w:val="3"/>
            <w:tcBorders>
              <w:top w:val="nil"/>
              <w:left w:val="dotted" w:sz="4" w:space="0" w:color="auto"/>
              <w:bottom w:val="nil"/>
            </w:tcBorders>
          </w:tcPr>
          <w:p w:rsidR="00A72397" w:rsidRDefault="00A72397" w:rsidP="005D3AFA">
            <w:pPr>
              <w:rPr>
                <w:rFonts w:ascii="Arial" w:hAnsi="Arial" w:cs="Arial"/>
                <w:sz w:val="20"/>
                <w:szCs w:val="20"/>
              </w:rPr>
            </w:pPr>
            <w:r>
              <w:rPr>
                <w:rFonts w:ascii="Arial" w:hAnsi="Arial" w:cs="Arial"/>
                <w:sz w:val="20"/>
                <w:szCs w:val="20"/>
              </w:rPr>
              <w:t>Control del uso de fertilizantes y químicos en la producción agrícola y ganadera.</w:t>
            </w:r>
          </w:p>
        </w:tc>
      </w:tr>
      <w:tr w:rsidR="00A72397" w:rsidTr="000329AF">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Arial"/>
                <w:sz w:val="20"/>
                <w:szCs w:val="20"/>
              </w:rPr>
            </w:pPr>
            <w:r>
              <w:rPr>
                <w:rFonts w:ascii="Arial" w:hAnsi="Arial" w:cs="Arial"/>
                <w:sz w:val="20"/>
                <w:szCs w:val="20"/>
              </w:rPr>
              <w:t>CA10</w:t>
            </w:r>
          </w:p>
        </w:tc>
        <w:tc>
          <w:tcPr>
            <w:tcW w:w="5811" w:type="dxa"/>
            <w:gridSpan w:val="3"/>
            <w:tcBorders>
              <w:top w:val="nil"/>
              <w:left w:val="dotted" w:sz="4" w:space="0" w:color="auto"/>
              <w:bottom w:val="nil"/>
            </w:tcBorders>
          </w:tcPr>
          <w:p w:rsidR="00A72397" w:rsidRPr="005D3AFA" w:rsidRDefault="00A72397" w:rsidP="00B97C8A">
            <w:pPr>
              <w:rPr>
                <w:rFonts w:ascii="Arial" w:hAnsi="Arial" w:cs="Arial"/>
                <w:sz w:val="20"/>
                <w:szCs w:val="20"/>
              </w:rPr>
            </w:pPr>
            <w:r>
              <w:rPr>
                <w:rFonts w:ascii="Arial" w:hAnsi="Arial" w:cs="Arial"/>
                <w:sz w:val="20"/>
                <w:szCs w:val="20"/>
              </w:rPr>
              <w:t>Reducción/eliminación de vertidos derivados de la producción agrícola y ganadera a las aguas superficiales.</w:t>
            </w:r>
          </w:p>
        </w:tc>
      </w:tr>
      <w:tr w:rsidR="00A72397" w:rsidTr="000329AF">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Default="00A72397" w:rsidP="005D3AFA">
            <w:pPr>
              <w:jc w:val="center"/>
              <w:rPr>
                <w:rFonts w:ascii="Arial" w:hAnsi="Arial" w:cs="Arial"/>
                <w:sz w:val="20"/>
                <w:szCs w:val="20"/>
              </w:rPr>
            </w:pPr>
            <w:r>
              <w:rPr>
                <w:rFonts w:ascii="Arial" w:hAnsi="Arial" w:cs="Arial"/>
                <w:sz w:val="20"/>
                <w:szCs w:val="20"/>
              </w:rPr>
              <w:t>CB09</w:t>
            </w:r>
          </w:p>
        </w:tc>
        <w:tc>
          <w:tcPr>
            <w:tcW w:w="5811" w:type="dxa"/>
            <w:gridSpan w:val="3"/>
            <w:tcBorders>
              <w:top w:val="nil"/>
              <w:left w:val="dotted" w:sz="4" w:space="0" w:color="auto"/>
              <w:bottom w:val="nil"/>
            </w:tcBorders>
          </w:tcPr>
          <w:p w:rsidR="00A72397" w:rsidRDefault="00A72397" w:rsidP="002B4D1E">
            <w:pPr>
              <w:rPr>
                <w:rFonts w:ascii="Arial" w:hAnsi="Arial" w:cs="Arial"/>
                <w:sz w:val="20"/>
                <w:szCs w:val="20"/>
              </w:rPr>
            </w:pPr>
            <w:r>
              <w:rPr>
                <w:rFonts w:ascii="Arial" w:hAnsi="Arial" w:cs="Arial"/>
                <w:sz w:val="20"/>
                <w:szCs w:val="20"/>
              </w:rPr>
              <w:t>Control del uso de fertilizantes, encalado y control de plagas en la producción forestal.</w:t>
            </w:r>
          </w:p>
        </w:tc>
      </w:tr>
      <w:tr w:rsidR="002E0C03" w:rsidTr="000329AF">
        <w:trPr>
          <w:trHeight w:val="567"/>
        </w:trPr>
        <w:tc>
          <w:tcPr>
            <w:tcW w:w="1951" w:type="dxa"/>
            <w:vMerge/>
            <w:shd w:val="clear" w:color="auto" w:fill="BFBFBF" w:themeFill="background1" w:themeFillShade="BF"/>
          </w:tcPr>
          <w:p w:rsidR="002E0C03" w:rsidRPr="00146247" w:rsidRDefault="002E0C0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2E0C03" w:rsidRDefault="002E0C03" w:rsidP="005D3AFA">
            <w:pPr>
              <w:jc w:val="center"/>
              <w:rPr>
                <w:rFonts w:ascii="Arial" w:hAnsi="Arial" w:cs="Arial"/>
                <w:sz w:val="20"/>
                <w:szCs w:val="20"/>
              </w:rPr>
            </w:pPr>
            <w:r>
              <w:rPr>
                <w:rFonts w:ascii="Arial" w:hAnsi="Arial" w:cs="Arial"/>
                <w:sz w:val="20"/>
                <w:szCs w:val="20"/>
              </w:rPr>
              <w:t>CE01</w:t>
            </w:r>
          </w:p>
        </w:tc>
        <w:tc>
          <w:tcPr>
            <w:tcW w:w="5811" w:type="dxa"/>
            <w:gridSpan w:val="3"/>
            <w:tcBorders>
              <w:top w:val="nil"/>
              <w:left w:val="dotted" w:sz="4" w:space="0" w:color="auto"/>
              <w:bottom w:val="nil"/>
            </w:tcBorders>
          </w:tcPr>
          <w:p w:rsidR="002E0C03" w:rsidRDefault="002E0C03" w:rsidP="002B4D1E">
            <w:pPr>
              <w:rPr>
                <w:rFonts w:ascii="Arial" w:hAnsi="Arial" w:cs="Arial"/>
                <w:sz w:val="20"/>
                <w:szCs w:val="20"/>
              </w:rPr>
            </w:pPr>
            <w:r>
              <w:rPr>
                <w:rFonts w:ascii="Arial" w:hAnsi="Arial" w:cs="Arial"/>
                <w:sz w:val="20"/>
                <w:szCs w:val="20"/>
              </w:rPr>
              <w:t>Reducción del impacto de las operaciones de transporte y su infraestructura.</w:t>
            </w:r>
          </w:p>
        </w:tc>
      </w:tr>
      <w:tr w:rsidR="002E0C03" w:rsidTr="002E0C03">
        <w:trPr>
          <w:trHeight w:val="794"/>
        </w:trPr>
        <w:tc>
          <w:tcPr>
            <w:tcW w:w="1951" w:type="dxa"/>
            <w:vMerge/>
            <w:shd w:val="clear" w:color="auto" w:fill="BFBFBF" w:themeFill="background1" w:themeFillShade="BF"/>
          </w:tcPr>
          <w:p w:rsidR="002E0C03" w:rsidRPr="00146247" w:rsidRDefault="002E0C0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2E0C03" w:rsidRDefault="002E0C03" w:rsidP="005D3AFA">
            <w:pPr>
              <w:jc w:val="center"/>
              <w:rPr>
                <w:rFonts w:ascii="Arial" w:hAnsi="Arial" w:cs="Arial"/>
                <w:sz w:val="20"/>
                <w:szCs w:val="20"/>
              </w:rPr>
            </w:pPr>
            <w:r>
              <w:rPr>
                <w:rFonts w:ascii="Arial" w:hAnsi="Arial" w:cs="Arial"/>
                <w:sz w:val="20"/>
                <w:szCs w:val="20"/>
              </w:rPr>
              <w:t>CF02</w:t>
            </w:r>
          </w:p>
        </w:tc>
        <w:tc>
          <w:tcPr>
            <w:tcW w:w="5811" w:type="dxa"/>
            <w:gridSpan w:val="3"/>
            <w:tcBorders>
              <w:top w:val="nil"/>
              <w:left w:val="dotted" w:sz="4" w:space="0" w:color="auto"/>
              <w:bottom w:val="nil"/>
            </w:tcBorders>
          </w:tcPr>
          <w:p w:rsidR="002E0C03" w:rsidRDefault="002E0C03" w:rsidP="002B4D1E">
            <w:pPr>
              <w:rPr>
                <w:rFonts w:ascii="Arial" w:hAnsi="Arial" w:cs="Arial"/>
                <w:sz w:val="20"/>
                <w:szCs w:val="20"/>
              </w:rPr>
            </w:pPr>
            <w:r>
              <w:rPr>
                <w:rFonts w:ascii="Arial" w:hAnsi="Arial" w:cs="Arial"/>
                <w:sz w:val="20"/>
                <w:szCs w:val="20"/>
              </w:rPr>
              <w:t>Restauración de hábitats afectados por</w:t>
            </w:r>
            <w:r>
              <w:rPr>
                <w:rFonts w:ascii="Arial" w:hAnsi="Arial" w:cs="Verdana,Bold"/>
                <w:bCs/>
                <w:sz w:val="20"/>
                <w:szCs w:val="18"/>
              </w:rPr>
              <w:t xml:space="preserve"> actividades, operaciones y/o infraestructuras residenciales, comerciales, industriales y recreacionales.</w:t>
            </w:r>
          </w:p>
        </w:tc>
      </w:tr>
      <w:tr w:rsidR="00A72397" w:rsidTr="002B4D1E">
        <w:trPr>
          <w:trHeight w:val="102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Verdana,Bold"/>
                <w:bCs/>
                <w:sz w:val="20"/>
                <w:szCs w:val="18"/>
              </w:rPr>
            </w:pPr>
            <w:r w:rsidRPr="005D3AFA">
              <w:rPr>
                <w:rFonts w:ascii="Arial" w:hAnsi="Arial" w:cs="Verdana,Bold"/>
                <w:bCs/>
                <w:sz w:val="20"/>
                <w:szCs w:val="18"/>
              </w:rPr>
              <w:t>CF04</w:t>
            </w:r>
          </w:p>
        </w:tc>
        <w:tc>
          <w:tcPr>
            <w:tcW w:w="5811" w:type="dxa"/>
            <w:gridSpan w:val="3"/>
            <w:tcBorders>
              <w:top w:val="nil"/>
              <w:left w:val="dotted" w:sz="4" w:space="0" w:color="auto"/>
              <w:bottom w:val="nil"/>
            </w:tcBorders>
          </w:tcPr>
          <w:p w:rsidR="00A72397" w:rsidRPr="005D3AFA" w:rsidRDefault="00A72397" w:rsidP="00B97C8A">
            <w:pPr>
              <w:rPr>
                <w:rFonts w:ascii="Arial" w:hAnsi="Arial" w:cs="Verdana,Bold"/>
                <w:bCs/>
                <w:sz w:val="20"/>
                <w:szCs w:val="18"/>
              </w:rPr>
            </w:pPr>
            <w:r w:rsidRPr="005D3AFA">
              <w:rPr>
                <w:rFonts w:ascii="Arial" w:hAnsi="Arial" w:cs="Verdana,Bold"/>
                <w:bCs/>
                <w:sz w:val="20"/>
                <w:szCs w:val="18"/>
              </w:rPr>
              <w:t>Reducción</w:t>
            </w:r>
            <w:r>
              <w:rPr>
                <w:rFonts w:ascii="Arial" w:hAnsi="Arial" w:cs="Verdana,Bold"/>
                <w:bCs/>
                <w:sz w:val="20"/>
                <w:szCs w:val="18"/>
              </w:rPr>
              <w:t>/eliminación</w:t>
            </w:r>
            <w:r w:rsidRPr="005D3AFA">
              <w:rPr>
                <w:rFonts w:ascii="Arial" w:hAnsi="Arial" w:cs="Verdana,Bold"/>
                <w:bCs/>
                <w:sz w:val="20"/>
                <w:szCs w:val="18"/>
              </w:rPr>
              <w:t xml:space="preserve"> de </w:t>
            </w:r>
            <w:r>
              <w:rPr>
                <w:rFonts w:ascii="Arial" w:hAnsi="Arial" w:cs="Verdana,Bold"/>
                <w:bCs/>
                <w:sz w:val="20"/>
                <w:szCs w:val="18"/>
              </w:rPr>
              <w:t>la contaminación de aguas superficiales debido a actividades, operaciones y/o infraestructuras residenciales, comerciales, industriales y recreacionales.</w:t>
            </w:r>
          </w:p>
        </w:tc>
      </w:tr>
      <w:tr w:rsidR="00A72397" w:rsidTr="002B4D1E">
        <w:trPr>
          <w:trHeight w:val="510"/>
        </w:trPr>
        <w:tc>
          <w:tcPr>
            <w:tcW w:w="1951" w:type="dxa"/>
            <w:vMerge/>
            <w:shd w:val="clear" w:color="auto" w:fill="BFBFBF" w:themeFill="background1" w:themeFillShade="BF"/>
          </w:tcPr>
          <w:p w:rsidR="00A72397" w:rsidRPr="00624D1F"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Arial"/>
                <w:sz w:val="20"/>
                <w:szCs w:val="20"/>
              </w:rPr>
            </w:pPr>
            <w:r w:rsidRPr="005D3AFA">
              <w:rPr>
                <w:rFonts w:ascii="Arial" w:hAnsi="Arial" w:cs="Verdana,Bold"/>
                <w:bCs/>
                <w:sz w:val="20"/>
                <w:szCs w:val="18"/>
              </w:rPr>
              <w:t>CJ02</w:t>
            </w:r>
          </w:p>
        </w:tc>
        <w:tc>
          <w:tcPr>
            <w:tcW w:w="5811" w:type="dxa"/>
            <w:gridSpan w:val="3"/>
            <w:tcBorders>
              <w:top w:val="nil"/>
              <w:left w:val="dotted" w:sz="4" w:space="0" w:color="auto"/>
              <w:bottom w:val="nil"/>
            </w:tcBorders>
          </w:tcPr>
          <w:p w:rsidR="00A72397" w:rsidRPr="005D3AFA" w:rsidRDefault="00A72397" w:rsidP="002B4D1E">
            <w:pPr>
              <w:rPr>
                <w:rFonts w:ascii="Arial" w:hAnsi="Arial" w:cs="Arial"/>
                <w:sz w:val="20"/>
                <w:szCs w:val="20"/>
              </w:rPr>
            </w:pPr>
            <w:r w:rsidRPr="005D3AFA">
              <w:rPr>
                <w:rFonts w:ascii="Arial" w:hAnsi="Arial" w:cs="Verdana,Bold"/>
                <w:bCs/>
                <w:sz w:val="20"/>
                <w:szCs w:val="18"/>
              </w:rPr>
              <w:t xml:space="preserve">Reducción de impactos de </w:t>
            </w:r>
            <w:r>
              <w:rPr>
                <w:rFonts w:ascii="Arial" w:hAnsi="Arial" w:cs="Verdana,Bold"/>
                <w:bCs/>
                <w:sz w:val="20"/>
                <w:szCs w:val="18"/>
              </w:rPr>
              <w:t>los cambios en las condiciones hidráulicas.</w:t>
            </w:r>
          </w:p>
        </w:tc>
      </w:tr>
      <w:tr w:rsidR="00A72397"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Arial"/>
                <w:sz w:val="20"/>
                <w:szCs w:val="20"/>
              </w:rPr>
            </w:pPr>
            <w:r w:rsidRPr="005D3AFA">
              <w:rPr>
                <w:rFonts w:ascii="Arial" w:hAnsi="Arial" w:cs="Verdana,Bold"/>
                <w:bCs/>
                <w:sz w:val="20"/>
                <w:szCs w:val="18"/>
              </w:rPr>
              <w:t>CN02</w:t>
            </w:r>
          </w:p>
        </w:tc>
        <w:tc>
          <w:tcPr>
            <w:tcW w:w="5811" w:type="dxa"/>
            <w:gridSpan w:val="3"/>
            <w:tcBorders>
              <w:top w:val="nil"/>
              <w:left w:val="dotted" w:sz="4" w:space="0" w:color="auto"/>
              <w:bottom w:val="nil"/>
            </w:tcBorders>
          </w:tcPr>
          <w:p w:rsidR="00A72397" w:rsidRPr="005D3AFA" w:rsidRDefault="00A72397" w:rsidP="00B97C8A">
            <w:pPr>
              <w:rPr>
                <w:rFonts w:ascii="Arial" w:hAnsi="Arial" w:cs="Arial"/>
                <w:sz w:val="20"/>
                <w:szCs w:val="20"/>
              </w:rPr>
            </w:pPr>
            <w:r w:rsidRPr="005D3AFA">
              <w:rPr>
                <w:rFonts w:ascii="Arial" w:hAnsi="Arial" w:cs="Verdana,Bold"/>
                <w:bCs/>
                <w:sz w:val="20"/>
                <w:szCs w:val="18"/>
              </w:rPr>
              <w:t>Mejora de la conectividad entre hábitats</w:t>
            </w:r>
          </w:p>
        </w:tc>
      </w:tr>
      <w:tr w:rsidR="00A72397"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Verdana,Bold"/>
                <w:bCs/>
                <w:sz w:val="20"/>
                <w:szCs w:val="18"/>
              </w:rPr>
            </w:pPr>
            <w:r>
              <w:rPr>
                <w:rFonts w:ascii="Arial" w:hAnsi="Arial" w:cs="Verdana,Bold"/>
                <w:bCs/>
                <w:sz w:val="20"/>
                <w:szCs w:val="18"/>
              </w:rPr>
              <w:t>CN01</w:t>
            </w:r>
          </w:p>
        </w:tc>
        <w:tc>
          <w:tcPr>
            <w:tcW w:w="5811" w:type="dxa"/>
            <w:gridSpan w:val="3"/>
            <w:tcBorders>
              <w:top w:val="nil"/>
              <w:left w:val="dotted" w:sz="4" w:space="0" w:color="auto"/>
              <w:bottom w:val="nil"/>
            </w:tcBorders>
          </w:tcPr>
          <w:p w:rsidR="00A72397" w:rsidRPr="005D3AFA" w:rsidRDefault="00A72397" w:rsidP="00B97C8A">
            <w:pPr>
              <w:rPr>
                <w:rFonts w:ascii="Arial" w:hAnsi="Arial" w:cs="Verdana,Bold"/>
                <w:bCs/>
                <w:sz w:val="20"/>
                <w:szCs w:val="18"/>
              </w:rPr>
            </w:pPr>
            <w:r>
              <w:rPr>
                <w:rFonts w:ascii="Arial" w:hAnsi="Arial" w:cs="Verdana,Bold"/>
                <w:bCs/>
                <w:sz w:val="20"/>
                <w:szCs w:val="18"/>
              </w:rPr>
              <w:t>Adoptar medidas de mitigación del cambio climático.</w:t>
            </w:r>
          </w:p>
        </w:tc>
      </w:tr>
      <w:tr w:rsidR="00A72397"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0329AF">
            <w:pPr>
              <w:jc w:val="center"/>
              <w:rPr>
                <w:rFonts w:ascii="Arial" w:hAnsi="Arial" w:cs="Verdana,Bold"/>
                <w:bCs/>
                <w:sz w:val="20"/>
                <w:szCs w:val="18"/>
              </w:rPr>
            </w:pPr>
            <w:r>
              <w:rPr>
                <w:rFonts w:ascii="Arial" w:hAnsi="Arial" w:cs="Verdana,Bold"/>
                <w:bCs/>
                <w:sz w:val="20"/>
                <w:szCs w:val="18"/>
              </w:rPr>
              <w:t>CN02</w:t>
            </w:r>
          </w:p>
        </w:tc>
        <w:tc>
          <w:tcPr>
            <w:tcW w:w="5811" w:type="dxa"/>
            <w:gridSpan w:val="3"/>
            <w:tcBorders>
              <w:top w:val="nil"/>
              <w:left w:val="dotted" w:sz="4" w:space="0" w:color="auto"/>
              <w:bottom w:val="nil"/>
            </w:tcBorders>
          </w:tcPr>
          <w:p w:rsidR="00A72397" w:rsidRPr="005D3AFA" w:rsidRDefault="00A72397" w:rsidP="000329AF">
            <w:pPr>
              <w:rPr>
                <w:rFonts w:ascii="Arial" w:hAnsi="Arial" w:cs="Verdana,Bold"/>
                <w:bCs/>
                <w:sz w:val="20"/>
                <w:szCs w:val="18"/>
              </w:rPr>
            </w:pPr>
            <w:r>
              <w:rPr>
                <w:rFonts w:ascii="Arial" w:hAnsi="Arial" w:cs="Verdana,Bold"/>
                <w:bCs/>
                <w:sz w:val="20"/>
                <w:szCs w:val="18"/>
              </w:rPr>
              <w:t>Adoptar medidas de adaptación al cambio climático.</w:t>
            </w:r>
          </w:p>
        </w:tc>
      </w:tr>
      <w:tr w:rsidR="00A72397" w:rsidTr="00A72397">
        <w:trPr>
          <w:trHeight w:val="1071"/>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6945" w:type="dxa"/>
            <w:gridSpan w:val="4"/>
            <w:tcBorders>
              <w:top w:val="single" w:sz="4" w:space="0" w:color="auto"/>
            </w:tcBorders>
            <w:vAlign w:val="center"/>
          </w:tcPr>
          <w:p w:rsidR="00A72397" w:rsidRPr="000329AF" w:rsidRDefault="00A72397" w:rsidP="00A72397">
            <w:pPr>
              <w:spacing w:line="276" w:lineRule="auto"/>
              <w:rPr>
                <w:rFonts w:ascii="Arial" w:hAnsi="Arial" w:cs="Arial"/>
              </w:rPr>
            </w:pPr>
            <w:r w:rsidRPr="000329AF">
              <w:rPr>
                <w:rFonts w:ascii="Arial" w:hAnsi="Arial" w:cs="Arial"/>
              </w:rPr>
              <w:t xml:space="preserve">Otras </w:t>
            </w:r>
            <w:r>
              <w:rPr>
                <w:rFonts w:ascii="Arial" w:hAnsi="Arial" w:cs="Arial"/>
              </w:rPr>
              <w:t>medidas contempladas en otros documentos de gestión y legislación para la odonatofauna en general también favorecerían a esta especie.</w:t>
            </w:r>
          </w:p>
        </w:tc>
      </w:tr>
      <w:tr w:rsidR="00A72397" w:rsidTr="00146247">
        <w:tc>
          <w:tcPr>
            <w:tcW w:w="1951" w:type="dxa"/>
            <w:shd w:val="clear" w:color="auto" w:fill="BFBFBF" w:themeFill="background1" w:themeFillShade="BF"/>
          </w:tcPr>
          <w:p w:rsidR="00A72397" w:rsidRPr="00146247" w:rsidRDefault="00A72397" w:rsidP="00146247">
            <w:pPr>
              <w:spacing w:before="240" w:line="360" w:lineRule="auto"/>
              <w:rPr>
                <w:rFonts w:ascii="Arial" w:hAnsi="Arial" w:cs="Arial"/>
                <w:b/>
                <w:sz w:val="20"/>
              </w:rPr>
            </w:pPr>
            <w:r w:rsidRPr="00146247">
              <w:rPr>
                <w:rFonts w:ascii="Arial" w:hAnsi="Arial" w:cs="Arial"/>
                <w:b/>
                <w:sz w:val="20"/>
              </w:rPr>
              <w:t>Otra información de interés</w:t>
            </w:r>
          </w:p>
        </w:tc>
        <w:tc>
          <w:tcPr>
            <w:tcW w:w="6945" w:type="dxa"/>
            <w:gridSpan w:val="4"/>
          </w:tcPr>
          <w:p w:rsidR="00A72397" w:rsidRPr="000329AF" w:rsidRDefault="00A72397" w:rsidP="005D3AFA">
            <w:pPr>
              <w:spacing w:before="240" w:line="276" w:lineRule="auto"/>
              <w:rPr>
                <w:rFonts w:ascii="Arial" w:hAnsi="Arial" w:cs="Arial"/>
              </w:rPr>
            </w:pPr>
          </w:p>
        </w:tc>
      </w:tr>
      <w:tr w:rsidR="00A72397" w:rsidRPr="002332D2" w:rsidTr="00146247">
        <w:tc>
          <w:tcPr>
            <w:tcW w:w="1951" w:type="dxa"/>
            <w:shd w:val="clear" w:color="auto" w:fill="BFBFBF" w:themeFill="background1" w:themeFillShade="BF"/>
          </w:tcPr>
          <w:p w:rsidR="00A72397" w:rsidRPr="00146247" w:rsidRDefault="00A72397" w:rsidP="00146247">
            <w:pPr>
              <w:spacing w:before="240" w:line="360" w:lineRule="auto"/>
              <w:rPr>
                <w:rFonts w:ascii="Arial" w:hAnsi="Arial" w:cs="Arial"/>
                <w:b/>
                <w:sz w:val="20"/>
              </w:rPr>
            </w:pPr>
            <w:r w:rsidRPr="00146247">
              <w:rPr>
                <w:rFonts w:ascii="Arial" w:hAnsi="Arial" w:cs="Arial"/>
                <w:b/>
                <w:sz w:val="20"/>
              </w:rPr>
              <w:t>Referencias bibliográficas</w:t>
            </w:r>
          </w:p>
        </w:tc>
        <w:tc>
          <w:tcPr>
            <w:tcW w:w="6945" w:type="dxa"/>
            <w:gridSpan w:val="4"/>
          </w:tcPr>
          <w:p w:rsidR="00A72397" w:rsidRDefault="00A72397" w:rsidP="00497219">
            <w:pPr>
              <w:spacing w:before="240" w:line="276" w:lineRule="auto"/>
              <w:ind w:left="64"/>
              <w:jc w:val="both"/>
              <w:rPr>
                <w:rFonts w:ascii="Arial" w:hAnsi="Arial" w:cs="Arial"/>
                <w:lang w:val="en-US"/>
              </w:rPr>
            </w:pPr>
            <w:r w:rsidRPr="00871359">
              <w:rPr>
                <w:rFonts w:ascii="Arial" w:hAnsi="Arial" w:cs="Arial"/>
                <w:lang w:val="en-US"/>
              </w:rPr>
              <w:t xml:space="preserve">Boudot, J-P. &amp; Kalkman, V.J. (Eds.). 2015. </w:t>
            </w:r>
            <w:r w:rsidRPr="00871359">
              <w:rPr>
                <w:rFonts w:ascii="Arial" w:hAnsi="Arial" w:cs="Arial"/>
                <w:i/>
                <w:lang w:val="en-US"/>
              </w:rPr>
              <w:t>Atlas of the European dragonflies and damselflies</w:t>
            </w:r>
            <w:r w:rsidRPr="00871359">
              <w:rPr>
                <w:rFonts w:ascii="Arial" w:hAnsi="Arial" w:cs="Arial"/>
                <w:lang w:val="en-US"/>
              </w:rPr>
              <w:t>. KNNV publishing, the Netherlands.</w:t>
            </w:r>
          </w:p>
          <w:p w:rsidR="00A72397" w:rsidRDefault="00A72397" w:rsidP="00497219">
            <w:pPr>
              <w:spacing w:before="240" w:line="276" w:lineRule="auto"/>
              <w:ind w:left="64"/>
              <w:jc w:val="both"/>
              <w:rPr>
                <w:rFonts w:ascii="Arial" w:eastAsia="Calibri" w:hAnsi="Arial" w:cs="Arial"/>
              </w:rPr>
            </w:pPr>
            <w:r w:rsidRPr="0027116A">
              <w:rPr>
                <w:rFonts w:ascii="Arial" w:hAnsi="Arial" w:cs="Arial"/>
              </w:rPr>
              <w:t xml:space="preserve">Castro, A., Díaz, B. &amp; Mezquita, I. 2018. </w:t>
            </w:r>
            <w:r>
              <w:rPr>
                <w:rFonts w:ascii="Arial" w:hAnsi="Arial" w:cs="Arial"/>
                <w:i/>
              </w:rPr>
              <w:t>O</w:t>
            </w:r>
            <w:r w:rsidRPr="00871359">
              <w:rPr>
                <w:rFonts w:ascii="Arial" w:hAnsi="Arial" w:cs="Arial"/>
                <w:i/>
              </w:rPr>
              <w:t>donatos de la CAPV</w:t>
            </w:r>
            <w:r>
              <w:rPr>
                <w:rFonts w:ascii="Arial" w:hAnsi="Arial" w:cs="Arial"/>
                <w:i/>
              </w:rPr>
              <w:t>: Estado de conservación, bases para planes de seguimiento y gestión y comp</w:t>
            </w:r>
            <w:r w:rsidR="0027116A">
              <w:rPr>
                <w:rFonts w:ascii="Arial" w:hAnsi="Arial" w:cs="Arial"/>
                <w:i/>
              </w:rPr>
              <w:t>l</w:t>
            </w:r>
            <w:r>
              <w:rPr>
                <w:rFonts w:ascii="Arial" w:hAnsi="Arial" w:cs="Arial"/>
                <w:i/>
              </w:rPr>
              <w:t xml:space="preserve">eción de fichas para el Sistema de </w:t>
            </w:r>
            <w:r w:rsidRPr="00871359">
              <w:rPr>
                <w:rFonts w:ascii="Arial" w:hAnsi="Arial" w:cs="Arial"/>
                <w:i/>
              </w:rPr>
              <w:t>Información de la Naturaleza</w:t>
            </w:r>
            <w:r w:rsidRPr="00871359">
              <w:rPr>
                <w:rFonts w:ascii="Arial" w:hAnsi="Arial" w:cs="Arial"/>
              </w:rPr>
              <w:t>. Informe técnico de la Sociedad de Ciencias Aranzadi para</w:t>
            </w:r>
            <w:r w:rsidRPr="00871359">
              <w:rPr>
                <w:rFonts w:ascii="Arial" w:eastAsia="Calibri" w:hAnsi="Arial" w:cs="Arial"/>
              </w:rPr>
              <w:t xml:space="preserve"> el Departamento de Medio Ambiente y Política Territorial del Gobierno Vasco.</w:t>
            </w:r>
          </w:p>
          <w:p w:rsidR="00A72397" w:rsidRPr="00621BEE" w:rsidRDefault="00A72397" w:rsidP="00497219">
            <w:pPr>
              <w:spacing w:before="240" w:line="276" w:lineRule="auto"/>
              <w:ind w:left="64"/>
              <w:jc w:val="both"/>
              <w:rPr>
                <w:rFonts w:ascii="Arial" w:hAnsi="Arial" w:cs="Arial"/>
                <w:lang w:val="en-US"/>
              </w:rPr>
            </w:pPr>
            <w:r w:rsidRPr="00871359">
              <w:rPr>
                <w:rFonts w:ascii="Arial" w:hAnsi="Arial" w:cs="Arial"/>
                <w:lang w:val="en-US"/>
              </w:rPr>
              <w:t xml:space="preserve">IUCN Standards and Petitions Subcommittee. 2016. </w:t>
            </w:r>
            <w:r w:rsidRPr="00871359">
              <w:rPr>
                <w:rFonts w:ascii="Arial" w:hAnsi="Arial" w:cs="Arial"/>
                <w:i/>
                <w:lang w:val="en-US"/>
              </w:rPr>
              <w:t>Guidelines for using the IUCN Red List Categories and Criteria</w:t>
            </w:r>
            <w:r w:rsidRPr="00871359">
              <w:rPr>
                <w:rFonts w:ascii="Arial" w:hAnsi="Arial" w:cs="Arial"/>
                <w:lang w:val="en-US"/>
              </w:rPr>
              <w:t>. Version 12. Prepared by the Standar</w:t>
            </w:r>
            <w:r w:rsidR="0027116A">
              <w:rPr>
                <w:rFonts w:ascii="Arial" w:hAnsi="Arial" w:cs="Arial"/>
                <w:lang w:val="en-US"/>
              </w:rPr>
              <w:t>d</w:t>
            </w:r>
            <w:r w:rsidRPr="00871359">
              <w:rPr>
                <w:rFonts w:ascii="Arial" w:hAnsi="Arial" w:cs="Arial"/>
                <w:lang w:val="en-US"/>
              </w:rPr>
              <w:t xml:space="preserve">s and Petitions Subcommittee. Downloadable from: </w:t>
            </w:r>
            <w:hyperlink r:id="rId12" w:history="1">
              <w:r w:rsidRPr="00871359">
                <w:rPr>
                  <w:rStyle w:val="Hipervnculo"/>
                  <w:rFonts w:ascii="Arial" w:hAnsi="Arial" w:cs="Arial"/>
                  <w:lang w:val="en-US"/>
                </w:rPr>
                <w:t>http://www.iucnredlist.org/documents/RedListGuidelines.pdf</w:t>
              </w:r>
            </w:hyperlink>
            <w:r w:rsidRPr="00871359">
              <w:rPr>
                <w:rFonts w:ascii="Arial" w:hAnsi="Arial" w:cs="Arial"/>
                <w:lang w:val="en-US"/>
              </w:rPr>
              <w:t>.</w:t>
            </w:r>
          </w:p>
          <w:p w:rsidR="00A72397" w:rsidRDefault="00A72397" w:rsidP="00C91A60">
            <w:pPr>
              <w:spacing w:before="240" w:line="276" w:lineRule="auto"/>
              <w:ind w:left="64"/>
              <w:jc w:val="both"/>
              <w:rPr>
                <w:rFonts w:ascii="Arial" w:hAnsi="Arial" w:cs="Arial"/>
                <w:lang w:val="en-US"/>
              </w:rPr>
            </w:pPr>
            <w:r w:rsidRPr="00A93E01">
              <w:rPr>
                <w:rFonts w:ascii="Arial" w:hAnsi="Arial" w:cs="Arial"/>
                <w:lang w:val="en-US"/>
              </w:rPr>
              <w:t>Kalkman, V.J., Boudot, J.-P., Bernard, R., Conze, K.-J., De Knijf, G., Dyatlova, E., Ferreira, S., Jović, M., Ott, J., Riserva</w:t>
            </w:r>
            <w:r w:rsidRPr="00F72738">
              <w:rPr>
                <w:rFonts w:ascii="Arial" w:hAnsi="Arial" w:cs="Arial"/>
                <w:lang w:val="en-US"/>
              </w:rPr>
              <w:t xml:space="preserve">to, E. &amp; Sahlén, G.. </w:t>
            </w:r>
            <w:r w:rsidRPr="00910653">
              <w:rPr>
                <w:rFonts w:ascii="Arial" w:hAnsi="Arial" w:cs="Arial"/>
                <w:lang w:val="en-US"/>
              </w:rPr>
              <w:t>2010. European Red List of Dragonflies. Luxembourg: Publications Office of the European Union</w:t>
            </w:r>
            <w:r>
              <w:rPr>
                <w:rFonts w:ascii="Arial" w:hAnsi="Arial" w:cs="Arial"/>
                <w:lang w:val="en-US"/>
              </w:rPr>
              <w:t>.</w:t>
            </w:r>
          </w:p>
          <w:p w:rsidR="003E48D3" w:rsidRPr="003E48D3" w:rsidRDefault="00DC1D7A" w:rsidP="00DA780F">
            <w:pPr>
              <w:spacing w:before="240" w:line="276" w:lineRule="auto"/>
              <w:ind w:left="64"/>
              <w:jc w:val="both"/>
              <w:rPr>
                <w:rFonts w:ascii="Arial" w:hAnsi="Arial" w:cs="Arial"/>
              </w:rPr>
            </w:pPr>
            <w:r w:rsidRPr="00871359">
              <w:rPr>
                <w:rFonts w:ascii="Arial" w:eastAsia="Calibri" w:hAnsi="Arial"/>
              </w:rPr>
              <w:t xml:space="preserve">Mezquita, I. 2012. </w:t>
            </w:r>
            <w:r w:rsidRPr="00871359">
              <w:rPr>
                <w:rFonts w:ascii="Arial" w:eastAsia="Calibri" w:hAnsi="Arial"/>
                <w:i/>
              </w:rPr>
              <w:t>Libélulas de Bizkaia</w:t>
            </w:r>
            <w:r w:rsidRPr="00871359">
              <w:rPr>
                <w:rFonts w:ascii="Arial" w:eastAsia="Calibri" w:hAnsi="Arial"/>
              </w:rPr>
              <w:t>. Fundación BBK.</w:t>
            </w:r>
          </w:p>
        </w:tc>
      </w:tr>
      <w:tr w:rsidR="00A72397" w:rsidRPr="00EA3AF4" w:rsidTr="00146247">
        <w:tc>
          <w:tcPr>
            <w:tcW w:w="1951" w:type="dxa"/>
            <w:shd w:val="clear" w:color="auto" w:fill="BFBFBF" w:themeFill="background1" w:themeFillShade="BF"/>
          </w:tcPr>
          <w:p w:rsidR="00A72397" w:rsidRPr="00146247" w:rsidRDefault="00A72397" w:rsidP="00146247">
            <w:pPr>
              <w:spacing w:before="240" w:line="360" w:lineRule="auto"/>
              <w:rPr>
                <w:rFonts w:ascii="Arial" w:hAnsi="Arial" w:cs="Arial"/>
                <w:b/>
                <w:sz w:val="20"/>
              </w:rPr>
            </w:pPr>
            <w:r w:rsidRPr="00146247">
              <w:rPr>
                <w:rFonts w:ascii="Arial" w:hAnsi="Arial" w:cs="Arial"/>
                <w:b/>
                <w:sz w:val="20"/>
              </w:rPr>
              <w:t>Información digital adjunta</w:t>
            </w:r>
          </w:p>
        </w:tc>
        <w:tc>
          <w:tcPr>
            <w:tcW w:w="6945" w:type="dxa"/>
            <w:gridSpan w:val="4"/>
          </w:tcPr>
          <w:p w:rsidR="00A72397" w:rsidRPr="000329AF" w:rsidRDefault="00A72397" w:rsidP="000329AF">
            <w:pPr>
              <w:spacing w:before="240" w:line="276" w:lineRule="auto"/>
              <w:ind w:left="62"/>
              <w:rPr>
                <w:rFonts w:ascii="Arial" w:hAnsi="Arial" w:cs="Arial"/>
              </w:rPr>
            </w:pPr>
            <w:r w:rsidRPr="000329AF">
              <w:rPr>
                <w:rFonts w:ascii="Arial" w:hAnsi="Arial" w:cs="Arial"/>
              </w:rPr>
              <w:t>Imágenes en JPEG: Figura 1.</w:t>
            </w:r>
          </w:p>
          <w:p w:rsidR="00A72397" w:rsidRPr="000329AF" w:rsidRDefault="00A72397" w:rsidP="00C91A60">
            <w:pPr>
              <w:spacing w:line="276" w:lineRule="auto"/>
              <w:ind w:left="62"/>
              <w:rPr>
                <w:rFonts w:ascii="Arial" w:hAnsi="Arial" w:cs="Arial"/>
              </w:rPr>
            </w:pPr>
            <w:r w:rsidRPr="000329AF">
              <w:rPr>
                <w:rFonts w:ascii="Arial" w:hAnsi="Arial" w:cs="Arial"/>
              </w:rPr>
              <w:t xml:space="preserve">Base de datos con las citas de la especie: </w:t>
            </w:r>
            <w:r>
              <w:rPr>
                <w:rFonts w:ascii="Arial" w:hAnsi="Arial" w:cs="Arial"/>
              </w:rPr>
              <w:t>“</w:t>
            </w:r>
            <w:r w:rsidRPr="00AF1DB8">
              <w:rPr>
                <w:rFonts w:ascii="Arial" w:hAnsi="Arial" w:cs="Arial"/>
                <w:i/>
              </w:rPr>
              <w:t xml:space="preserve">BaseDatos </w:t>
            </w:r>
            <w:r w:rsidR="00446637">
              <w:rPr>
                <w:rFonts w:ascii="Arial" w:hAnsi="Arial" w:cs="Arial"/>
                <w:i/>
              </w:rPr>
              <w:t>–</w:t>
            </w:r>
            <w:r w:rsidRPr="00AF1DB8">
              <w:rPr>
                <w:rFonts w:ascii="Arial" w:hAnsi="Arial" w:cs="Arial"/>
                <w:i/>
              </w:rPr>
              <w:t xml:space="preserve"> </w:t>
            </w:r>
            <w:r w:rsidR="00921480" w:rsidRPr="00921480">
              <w:rPr>
                <w:rFonts w:ascii="Arial" w:hAnsi="Arial" w:cs="Arial"/>
                <w:i/>
              </w:rPr>
              <w:t>Libellula fulva</w:t>
            </w:r>
            <w:r w:rsidRPr="00AF1DB8">
              <w:rPr>
                <w:rFonts w:ascii="Arial" w:hAnsi="Arial" w:cs="Arial"/>
                <w:i/>
              </w:rPr>
              <w:t>.xlsx</w:t>
            </w:r>
            <w:r>
              <w:rPr>
                <w:rFonts w:ascii="Arial" w:hAnsi="Arial" w:cs="Arial"/>
              </w:rPr>
              <w:t>”</w:t>
            </w:r>
            <w:r w:rsidR="00C61C9B">
              <w:rPr>
                <w:rFonts w:ascii="Arial" w:hAnsi="Arial" w:cs="Arial"/>
              </w:rPr>
              <w:t>, incorporada al SINE</w:t>
            </w:r>
            <w:bookmarkStart w:id="0" w:name="_GoBack"/>
            <w:bookmarkEnd w:id="0"/>
          </w:p>
        </w:tc>
      </w:tr>
    </w:tbl>
    <w:p w:rsidR="005B0F8A" w:rsidRPr="000329AF" w:rsidRDefault="005B0F8A" w:rsidP="0058137E">
      <w:pPr>
        <w:spacing w:line="360" w:lineRule="auto"/>
        <w:rPr>
          <w:rFonts w:ascii="Arial" w:hAnsi="Arial" w:cs="Arial"/>
        </w:rPr>
      </w:pPr>
    </w:p>
    <w:sectPr w:rsidR="005B0F8A" w:rsidRPr="000329A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Verdana,Bold">
    <w:altName w:val="Cambri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C4D3B"/>
    <w:multiLevelType w:val="hybridMultilevel"/>
    <w:tmpl w:val="99B4146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F030E16"/>
    <w:multiLevelType w:val="hybridMultilevel"/>
    <w:tmpl w:val="19A2DB30"/>
    <w:lvl w:ilvl="0" w:tplc="0C0A0001">
      <w:start w:val="1"/>
      <w:numFmt w:val="bullet"/>
      <w:lvlText w:val=""/>
      <w:lvlJc w:val="left"/>
      <w:pPr>
        <w:ind w:left="360" w:hanging="360"/>
      </w:pPr>
      <w:rPr>
        <w:rFonts w:ascii="Symbol" w:hAnsi="Symbol"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91F645E"/>
    <w:multiLevelType w:val="hybridMultilevel"/>
    <w:tmpl w:val="4D16C7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AA616E2"/>
    <w:multiLevelType w:val="hybridMultilevel"/>
    <w:tmpl w:val="3670E4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33147A6"/>
    <w:multiLevelType w:val="hybridMultilevel"/>
    <w:tmpl w:val="4614C756"/>
    <w:lvl w:ilvl="0" w:tplc="04C2C1CC">
      <w:start w:val="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6204935"/>
    <w:multiLevelType w:val="hybridMultilevel"/>
    <w:tmpl w:val="E80A885A"/>
    <w:lvl w:ilvl="0" w:tplc="485A2F9C">
      <w:numFmt w:val="bullet"/>
      <w:lvlText w:val="-"/>
      <w:lvlJc w:val="left"/>
      <w:pPr>
        <w:ind w:left="420" w:hanging="360"/>
      </w:pPr>
      <w:rPr>
        <w:rFonts w:ascii="Arial" w:eastAsiaTheme="minorHAnsi"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6" w15:restartNumberingAfterBreak="0">
    <w:nsid w:val="2AA7148D"/>
    <w:multiLevelType w:val="hybridMultilevel"/>
    <w:tmpl w:val="1910BB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2476205"/>
    <w:multiLevelType w:val="hybridMultilevel"/>
    <w:tmpl w:val="487C24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9B91304"/>
    <w:multiLevelType w:val="hybridMultilevel"/>
    <w:tmpl w:val="7B84F0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1EF5925"/>
    <w:multiLevelType w:val="hybridMultilevel"/>
    <w:tmpl w:val="40320E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2D5405D"/>
    <w:multiLevelType w:val="hybridMultilevel"/>
    <w:tmpl w:val="7B2CD878"/>
    <w:lvl w:ilvl="0" w:tplc="0E4E4070">
      <w:start w:val="1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34A65D5"/>
    <w:multiLevelType w:val="hybridMultilevel"/>
    <w:tmpl w:val="8B522B18"/>
    <w:lvl w:ilvl="0" w:tplc="CCD83200">
      <w:start w:val="5"/>
      <w:numFmt w:val="bullet"/>
      <w:lvlText w:val="-"/>
      <w:lvlJc w:val="left"/>
      <w:pPr>
        <w:ind w:left="420" w:hanging="360"/>
      </w:pPr>
      <w:rPr>
        <w:rFonts w:ascii="Arial" w:eastAsiaTheme="minorHAnsi"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12" w15:restartNumberingAfterBreak="0">
    <w:nsid w:val="63BC60D9"/>
    <w:multiLevelType w:val="hybridMultilevel"/>
    <w:tmpl w:val="113ECE1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702763D5"/>
    <w:multiLevelType w:val="hybridMultilevel"/>
    <w:tmpl w:val="777EBC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7B431407"/>
    <w:multiLevelType w:val="hybridMultilevel"/>
    <w:tmpl w:val="2C482CE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2"/>
  </w:num>
  <w:num w:numId="4">
    <w:abstractNumId w:val="3"/>
  </w:num>
  <w:num w:numId="5">
    <w:abstractNumId w:val="9"/>
  </w:num>
  <w:num w:numId="6">
    <w:abstractNumId w:val="13"/>
  </w:num>
  <w:num w:numId="7">
    <w:abstractNumId w:val="4"/>
  </w:num>
  <w:num w:numId="8">
    <w:abstractNumId w:val="6"/>
  </w:num>
  <w:num w:numId="9">
    <w:abstractNumId w:val="2"/>
  </w:num>
  <w:num w:numId="10">
    <w:abstractNumId w:val="14"/>
  </w:num>
  <w:num w:numId="11">
    <w:abstractNumId w:val="7"/>
  </w:num>
  <w:num w:numId="12">
    <w:abstractNumId w:val="1"/>
  </w:num>
  <w:num w:numId="13">
    <w:abstractNumId w:val="10"/>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C9F"/>
    <w:rsid w:val="00006C50"/>
    <w:rsid w:val="000123A9"/>
    <w:rsid w:val="0002094B"/>
    <w:rsid w:val="00030DCB"/>
    <w:rsid w:val="000329AF"/>
    <w:rsid w:val="00033F1B"/>
    <w:rsid w:val="00040EBE"/>
    <w:rsid w:val="00040F70"/>
    <w:rsid w:val="000429F0"/>
    <w:rsid w:val="00043875"/>
    <w:rsid w:val="00055236"/>
    <w:rsid w:val="00067143"/>
    <w:rsid w:val="000773DC"/>
    <w:rsid w:val="000A730B"/>
    <w:rsid w:val="000C0ABD"/>
    <w:rsid w:val="000C20F3"/>
    <w:rsid w:val="000D02A0"/>
    <w:rsid w:val="0010015A"/>
    <w:rsid w:val="00146247"/>
    <w:rsid w:val="0017433F"/>
    <w:rsid w:val="00175B52"/>
    <w:rsid w:val="001B2A6C"/>
    <w:rsid w:val="001D4573"/>
    <w:rsid w:val="001E17B5"/>
    <w:rsid w:val="002025F1"/>
    <w:rsid w:val="00227E37"/>
    <w:rsid w:val="002332D2"/>
    <w:rsid w:val="002419C0"/>
    <w:rsid w:val="00253E30"/>
    <w:rsid w:val="0027116A"/>
    <w:rsid w:val="00274BDA"/>
    <w:rsid w:val="00280691"/>
    <w:rsid w:val="002B4D1E"/>
    <w:rsid w:val="002C662E"/>
    <w:rsid w:val="002D0A26"/>
    <w:rsid w:val="002E085C"/>
    <w:rsid w:val="002E0C03"/>
    <w:rsid w:val="002E4CDC"/>
    <w:rsid w:val="00302AD9"/>
    <w:rsid w:val="00303E54"/>
    <w:rsid w:val="0033102E"/>
    <w:rsid w:val="00340F3C"/>
    <w:rsid w:val="0037083F"/>
    <w:rsid w:val="00381424"/>
    <w:rsid w:val="00386D2A"/>
    <w:rsid w:val="0039742E"/>
    <w:rsid w:val="003A26A3"/>
    <w:rsid w:val="003E2C9F"/>
    <w:rsid w:val="003E37CA"/>
    <w:rsid w:val="003E48D3"/>
    <w:rsid w:val="003E7F59"/>
    <w:rsid w:val="004014E5"/>
    <w:rsid w:val="00416B51"/>
    <w:rsid w:val="00437E4B"/>
    <w:rsid w:val="004460C3"/>
    <w:rsid w:val="00446637"/>
    <w:rsid w:val="00471DC2"/>
    <w:rsid w:val="00472F0A"/>
    <w:rsid w:val="00486767"/>
    <w:rsid w:val="00494083"/>
    <w:rsid w:val="00497219"/>
    <w:rsid w:val="004A2B4D"/>
    <w:rsid w:val="004D3DF3"/>
    <w:rsid w:val="004D71D8"/>
    <w:rsid w:val="004F52BA"/>
    <w:rsid w:val="0050341C"/>
    <w:rsid w:val="0050657D"/>
    <w:rsid w:val="00514152"/>
    <w:rsid w:val="00514EA9"/>
    <w:rsid w:val="00521AC8"/>
    <w:rsid w:val="00533CEC"/>
    <w:rsid w:val="005441F5"/>
    <w:rsid w:val="0058137E"/>
    <w:rsid w:val="00586CE0"/>
    <w:rsid w:val="005B0F8A"/>
    <w:rsid w:val="005D3AFA"/>
    <w:rsid w:val="005E6BFC"/>
    <w:rsid w:val="005E6E31"/>
    <w:rsid w:val="00613B5B"/>
    <w:rsid w:val="00621BEE"/>
    <w:rsid w:val="00624D1F"/>
    <w:rsid w:val="00642900"/>
    <w:rsid w:val="00644691"/>
    <w:rsid w:val="00650211"/>
    <w:rsid w:val="00650942"/>
    <w:rsid w:val="006679D7"/>
    <w:rsid w:val="00676BD4"/>
    <w:rsid w:val="0068728B"/>
    <w:rsid w:val="006904DA"/>
    <w:rsid w:val="006D787C"/>
    <w:rsid w:val="00736DBF"/>
    <w:rsid w:val="007617D0"/>
    <w:rsid w:val="0077099F"/>
    <w:rsid w:val="007806CE"/>
    <w:rsid w:val="00780D82"/>
    <w:rsid w:val="00790923"/>
    <w:rsid w:val="00793A7E"/>
    <w:rsid w:val="007C0D08"/>
    <w:rsid w:val="007C207E"/>
    <w:rsid w:val="007C5797"/>
    <w:rsid w:val="007C5CDC"/>
    <w:rsid w:val="007D377E"/>
    <w:rsid w:val="007D4376"/>
    <w:rsid w:val="007E5B47"/>
    <w:rsid w:val="007F2538"/>
    <w:rsid w:val="00820B07"/>
    <w:rsid w:val="00820EB4"/>
    <w:rsid w:val="00821637"/>
    <w:rsid w:val="00826E79"/>
    <w:rsid w:val="008577E6"/>
    <w:rsid w:val="00872CCA"/>
    <w:rsid w:val="008C3364"/>
    <w:rsid w:val="0090588A"/>
    <w:rsid w:val="00910653"/>
    <w:rsid w:val="00911326"/>
    <w:rsid w:val="00921480"/>
    <w:rsid w:val="0094292F"/>
    <w:rsid w:val="00990D08"/>
    <w:rsid w:val="009A2651"/>
    <w:rsid w:val="009A6413"/>
    <w:rsid w:val="009B4372"/>
    <w:rsid w:val="009E77D4"/>
    <w:rsid w:val="009F28E2"/>
    <w:rsid w:val="009F66C8"/>
    <w:rsid w:val="00A127C6"/>
    <w:rsid w:val="00A25AF0"/>
    <w:rsid w:val="00A30746"/>
    <w:rsid w:val="00A31056"/>
    <w:rsid w:val="00A6312D"/>
    <w:rsid w:val="00A72397"/>
    <w:rsid w:val="00A85217"/>
    <w:rsid w:val="00A87E91"/>
    <w:rsid w:val="00A93E01"/>
    <w:rsid w:val="00AB3C87"/>
    <w:rsid w:val="00AF1DB8"/>
    <w:rsid w:val="00B63745"/>
    <w:rsid w:val="00B71988"/>
    <w:rsid w:val="00B82304"/>
    <w:rsid w:val="00B949C3"/>
    <w:rsid w:val="00B94D5F"/>
    <w:rsid w:val="00B97C8A"/>
    <w:rsid w:val="00BA37B2"/>
    <w:rsid w:val="00BD1657"/>
    <w:rsid w:val="00BE2860"/>
    <w:rsid w:val="00BE5112"/>
    <w:rsid w:val="00C10538"/>
    <w:rsid w:val="00C22179"/>
    <w:rsid w:val="00C56915"/>
    <w:rsid w:val="00C61C9B"/>
    <w:rsid w:val="00C768ED"/>
    <w:rsid w:val="00C91A60"/>
    <w:rsid w:val="00CA3C63"/>
    <w:rsid w:val="00CB0D75"/>
    <w:rsid w:val="00D0685A"/>
    <w:rsid w:val="00D07FF7"/>
    <w:rsid w:val="00D220AA"/>
    <w:rsid w:val="00D22607"/>
    <w:rsid w:val="00D43213"/>
    <w:rsid w:val="00D55E55"/>
    <w:rsid w:val="00D57217"/>
    <w:rsid w:val="00D77287"/>
    <w:rsid w:val="00D9245E"/>
    <w:rsid w:val="00DA780F"/>
    <w:rsid w:val="00DA7BD2"/>
    <w:rsid w:val="00DB023F"/>
    <w:rsid w:val="00DC1D7A"/>
    <w:rsid w:val="00E04E75"/>
    <w:rsid w:val="00E11237"/>
    <w:rsid w:val="00E27389"/>
    <w:rsid w:val="00E72ADD"/>
    <w:rsid w:val="00E86BEA"/>
    <w:rsid w:val="00EA187F"/>
    <w:rsid w:val="00EA2A26"/>
    <w:rsid w:val="00EA3AF4"/>
    <w:rsid w:val="00ED0DCB"/>
    <w:rsid w:val="00EE7D3E"/>
    <w:rsid w:val="00F02E87"/>
    <w:rsid w:val="00F37348"/>
    <w:rsid w:val="00F404CB"/>
    <w:rsid w:val="00F4222F"/>
    <w:rsid w:val="00F50BB9"/>
    <w:rsid w:val="00F513F9"/>
    <w:rsid w:val="00F63964"/>
    <w:rsid w:val="00F72738"/>
    <w:rsid w:val="00F8440A"/>
    <w:rsid w:val="00FB49A4"/>
    <w:rsid w:val="00FD0E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5142E"/>
  <w15:docId w15:val="{A8860C57-B14D-46FA-BCEC-F1D803FC0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2C9F"/>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3E2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C3364"/>
    <w:pPr>
      <w:ind w:left="720"/>
      <w:contextualSpacing/>
    </w:pPr>
  </w:style>
  <w:style w:type="character" w:styleId="Textoennegrita">
    <w:name w:val="Strong"/>
    <w:basedOn w:val="Fuentedeprrafopredeter"/>
    <w:uiPriority w:val="22"/>
    <w:qFormat/>
    <w:rsid w:val="00D77287"/>
    <w:rPr>
      <w:b/>
      <w:bCs/>
    </w:rPr>
  </w:style>
  <w:style w:type="paragraph" w:styleId="Textodeglobo">
    <w:name w:val="Balloon Text"/>
    <w:basedOn w:val="Normal"/>
    <w:link w:val="TextodegloboCar"/>
    <w:uiPriority w:val="99"/>
    <w:semiHidden/>
    <w:unhideWhenUsed/>
    <w:rsid w:val="00D572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7217"/>
    <w:rPr>
      <w:rFonts w:ascii="Tahoma" w:hAnsi="Tahoma" w:cs="Tahoma"/>
      <w:sz w:val="16"/>
      <w:szCs w:val="16"/>
    </w:rPr>
  </w:style>
  <w:style w:type="character" w:styleId="Hipervnculo">
    <w:name w:val="Hyperlink"/>
    <w:basedOn w:val="Fuentedeprrafopredeter"/>
    <w:uiPriority w:val="99"/>
    <w:unhideWhenUsed/>
    <w:rsid w:val="00790923"/>
    <w:rPr>
      <w:color w:val="0563C1" w:themeColor="hyperlink"/>
      <w:u w:val="single"/>
    </w:rPr>
  </w:style>
  <w:style w:type="character" w:styleId="Textodelmarcadordeposicin">
    <w:name w:val="Placeholder Text"/>
    <w:basedOn w:val="Fuentedeprrafopredeter"/>
    <w:uiPriority w:val="99"/>
    <w:semiHidden/>
    <w:rsid w:val="0050341C"/>
    <w:rPr>
      <w:color w:val="808080"/>
    </w:rPr>
  </w:style>
  <w:style w:type="character" w:customStyle="1" w:styleId="name">
    <w:name w:val="name"/>
    <w:basedOn w:val="Fuentedeprrafopredeter"/>
    <w:rsid w:val="00033F1B"/>
  </w:style>
  <w:style w:type="character" w:customStyle="1" w:styleId="taxonname">
    <w:name w:val="taxonname"/>
    <w:basedOn w:val="Fuentedeprrafopredeter"/>
    <w:rsid w:val="00033F1B"/>
  </w:style>
  <w:style w:type="character" w:customStyle="1" w:styleId="authors">
    <w:name w:val="authors"/>
    <w:basedOn w:val="Fuentedeprrafopredeter"/>
    <w:rsid w:val="00033F1B"/>
  </w:style>
  <w:style w:type="character" w:customStyle="1" w:styleId="reference">
    <w:name w:val="reference"/>
    <w:basedOn w:val="Fuentedeprrafopredeter"/>
    <w:rsid w:val="00033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iucnredlist.org/documents/RedListGuideline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dr.eionet.europa.eu/help/habitats_art17" TargetMode="Externa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E42CE3B01C794458EC46233D514BD01" ma:contentTypeVersion="11" ma:contentTypeDescription="Crear nuevo documento." ma:contentTypeScope="" ma:versionID="36bed9b3dbed49d2bd9d29945c98bc19">
  <xsd:schema xmlns:xsd="http://www.w3.org/2001/XMLSchema" xmlns:xs="http://www.w3.org/2001/XMLSchema" xmlns:p="http://schemas.microsoft.com/office/2006/metadata/properties" xmlns:ns2="77d3f2b1-f841-41a7-a4a6-6f7751f4f541" xmlns:ns3="904b01e8-fb1d-497b-98a3-0a38975a92af" targetNamespace="http://schemas.microsoft.com/office/2006/metadata/properties" ma:root="true" ma:fieldsID="3e00faf0446ba1fdb80f5044169da7bb" ns2:_="" ns3:_="">
    <xsd:import namespace="77d3f2b1-f841-41a7-a4a6-6f7751f4f541"/>
    <xsd:import namespace="904b01e8-fb1d-497b-98a3-0a38975a92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d3f2b1-f841-41a7-a4a6-6f7751f4f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4b01e8-fb1d-497b-98a3-0a38975a92af" elementFormDefault="qualified">
    <xsd:import namespace="http://schemas.microsoft.com/office/2006/documentManagement/types"/>
    <xsd:import namespace="http://schemas.microsoft.com/office/infopath/2007/PartnerControls"/>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DE6416-C3A3-47EB-AE99-7E79B37CC2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BCC408-BA5C-41EE-BA29-8B64BB51F8AF}">
  <ds:schemaRefs>
    <ds:schemaRef ds:uri="http://schemas.microsoft.com/sharepoint/v3/contenttype/forms"/>
  </ds:schemaRefs>
</ds:datastoreItem>
</file>

<file path=customXml/itemProps3.xml><?xml version="1.0" encoding="utf-8"?>
<ds:datastoreItem xmlns:ds="http://schemas.openxmlformats.org/officeDocument/2006/customXml" ds:itemID="{70C6A62F-3884-4D17-898B-3B78CE2C5312}"/>
</file>

<file path=docProps/app.xml><?xml version="1.0" encoding="utf-8"?>
<Properties xmlns="http://schemas.openxmlformats.org/officeDocument/2006/extended-properties" xmlns:vt="http://schemas.openxmlformats.org/officeDocument/2006/docPropsVTypes">
  <Template>Normal.dotm</Template>
  <TotalTime>15</TotalTime>
  <Pages>7</Pages>
  <Words>1521</Words>
  <Characters>8366</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 Garin</dc:creator>
  <cp:lastModifiedBy>Rozas Ormazabal, Marta</cp:lastModifiedBy>
  <cp:revision>7</cp:revision>
  <dcterms:created xsi:type="dcterms:W3CDTF">2019-12-05T07:20:00Z</dcterms:created>
  <dcterms:modified xsi:type="dcterms:W3CDTF">2021-06-14T08:38:00Z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0x010100BE42CE3B01C794458EC46233D514BD01</vt:lpwstr>
  </property>
</Properties>
</file>